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0" w:type="dxa"/>
        <w:jc w:val="center"/>
        <w:tblLook w:val="01E0"/>
      </w:tblPr>
      <w:tblGrid>
        <w:gridCol w:w="2160"/>
        <w:gridCol w:w="5410"/>
        <w:gridCol w:w="2160"/>
      </w:tblGrid>
      <w:tr w:rsidR="00AE1491" w:rsidTr="00691AAD">
        <w:trPr>
          <w:trHeight w:val="889"/>
          <w:jc w:val="center"/>
        </w:trPr>
        <w:tc>
          <w:tcPr>
            <w:tcW w:w="2160" w:type="dxa"/>
            <w:vMerge w:val="restart"/>
          </w:tcPr>
          <w:p w:rsidR="00AE1491" w:rsidRPr="00834198" w:rsidRDefault="00FA5078" w:rsidP="00834198">
            <w:pPr>
              <w:spacing w:after="120"/>
              <w:ind w:right="-540"/>
              <w:jc w:val="center"/>
              <w:rPr>
                <w:b/>
                <w:bCs/>
                <w:sz w:val="48"/>
                <w:szCs w:val="48"/>
              </w:rPr>
            </w:pPr>
            <w:r>
              <w:rPr>
                <w:noProof/>
                <w:lang w:val="it-CH" w:eastAsia="it-CH"/>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107950</wp:posOffset>
                  </wp:positionV>
                  <wp:extent cx="840105" cy="10769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0105" cy="1076960"/>
                          </a:xfrm>
                          <a:prstGeom prst="rect">
                            <a:avLst/>
                          </a:prstGeom>
                          <a:noFill/>
                        </pic:spPr>
                      </pic:pic>
                    </a:graphicData>
                  </a:graphic>
                </wp:anchor>
              </w:drawing>
            </w:r>
          </w:p>
        </w:tc>
        <w:tc>
          <w:tcPr>
            <w:tcW w:w="5410" w:type="dxa"/>
          </w:tcPr>
          <w:p w:rsidR="00AE1491" w:rsidRPr="00834198" w:rsidRDefault="00FA5078" w:rsidP="00834198">
            <w:pPr>
              <w:spacing w:after="120"/>
              <w:ind w:right="-540"/>
              <w:jc w:val="center"/>
              <w:rPr>
                <w:b/>
                <w:bCs/>
                <w:sz w:val="48"/>
                <w:szCs w:val="48"/>
              </w:rPr>
            </w:pPr>
            <w:r>
              <w:rPr>
                <w:b/>
                <w:bCs/>
                <w:noProof/>
                <w:sz w:val="48"/>
                <w:szCs w:val="48"/>
                <w:lang w:val="it-CH" w:eastAsia="it-CH"/>
              </w:rPr>
              <w:drawing>
                <wp:inline distT="0" distB="0" distL="0" distR="0">
                  <wp:extent cx="1905000" cy="257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57175"/>
                          </a:xfrm>
                          <a:prstGeom prst="rect">
                            <a:avLst/>
                          </a:prstGeom>
                          <a:noFill/>
                          <a:ln>
                            <a:noFill/>
                          </a:ln>
                        </pic:spPr>
                      </pic:pic>
                    </a:graphicData>
                  </a:graphic>
                </wp:inline>
              </w:drawing>
            </w:r>
          </w:p>
        </w:tc>
        <w:tc>
          <w:tcPr>
            <w:tcW w:w="2160" w:type="dxa"/>
            <w:vMerge w:val="restart"/>
          </w:tcPr>
          <w:p w:rsidR="00AE1491" w:rsidRPr="00834198" w:rsidRDefault="00FA5078" w:rsidP="00834198">
            <w:pPr>
              <w:spacing w:after="120"/>
              <w:ind w:right="-540"/>
              <w:jc w:val="center"/>
              <w:rPr>
                <w:b/>
                <w:bCs/>
                <w:sz w:val="48"/>
                <w:szCs w:val="48"/>
              </w:rPr>
            </w:pPr>
            <w:r>
              <w:rPr>
                <w:b/>
                <w:bCs/>
                <w:noProof/>
                <w:sz w:val="48"/>
                <w:szCs w:val="48"/>
                <w:lang w:val="it-CH" w:eastAsia="it-CH"/>
              </w:rPr>
              <w:drawing>
                <wp:inline distT="0" distB="0" distL="0" distR="0">
                  <wp:extent cx="1019175" cy="101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r>
      <w:tr w:rsidR="00AE1491" w:rsidTr="00691AAD">
        <w:trPr>
          <w:trHeight w:val="893"/>
          <w:jc w:val="center"/>
        </w:trPr>
        <w:tc>
          <w:tcPr>
            <w:tcW w:w="2160" w:type="dxa"/>
            <w:vMerge/>
          </w:tcPr>
          <w:p w:rsidR="00AE1491" w:rsidRPr="00834198" w:rsidRDefault="00AE1491" w:rsidP="00834198">
            <w:pPr>
              <w:spacing w:after="120"/>
              <w:ind w:right="-540"/>
              <w:jc w:val="center"/>
              <w:rPr>
                <w:b/>
                <w:bCs/>
                <w:sz w:val="48"/>
                <w:szCs w:val="48"/>
              </w:rPr>
            </w:pPr>
          </w:p>
        </w:tc>
        <w:tc>
          <w:tcPr>
            <w:tcW w:w="5410" w:type="dxa"/>
          </w:tcPr>
          <w:p w:rsidR="00AE1491" w:rsidRPr="00834198" w:rsidRDefault="00691AAD" w:rsidP="00691AAD">
            <w:pPr>
              <w:spacing w:after="120"/>
              <w:ind w:right="-120"/>
              <w:jc w:val="center"/>
              <w:rPr>
                <w:b/>
                <w:bCs/>
                <w:sz w:val="48"/>
                <w:szCs w:val="48"/>
              </w:rPr>
            </w:pPr>
            <w:r>
              <w:rPr>
                <w:noProof/>
                <w:lang w:val="it-CH" w:eastAsia="it-CH"/>
              </w:rPr>
              <w:drawing>
                <wp:inline distT="0" distB="0" distL="0" distR="0">
                  <wp:extent cx="3228975" cy="9906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28975" cy="990600"/>
                          </a:xfrm>
                          <a:prstGeom prst="rect">
                            <a:avLst/>
                          </a:prstGeom>
                        </pic:spPr>
                      </pic:pic>
                    </a:graphicData>
                  </a:graphic>
                </wp:inline>
              </w:drawing>
            </w:r>
          </w:p>
        </w:tc>
        <w:tc>
          <w:tcPr>
            <w:tcW w:w="2160" w:type="dxa"/>
            <w:vMerge/>
          </w:tcPr>
          <w:p w:rsidR="00AE1491" w:rsidRPr="00834198" w:rsidRDefault="00AE1491" w:rsidP="00834198">
            <w:pPr>
              <w:spacing w:after="120"/>
              <w:ind w:right="-540"/>
              <w:jc w:val="center"/>
              <w:rPr>
                <w:b/>
                <w:bCs/>
                <w:sz w:val="48"/>
                <w:szCs w:val="48"/>
              </w:rPr>
            </w:pPr>
          </w:p>
        </w:tc>
      </w:tr>
    </w:tbl>
    <w:p w:rsidR="00AE1491" w:rsidRPr="00B44FAE" w:rsidRDefault="00AE1491" w:rsidP="0050653F">
      <w:pPr>
        <w:spacing w:after="120"/>
        <w:ind w:right="-540"/>
        <w:jc w:val="center"/>
        <w:rPr>
          <w:b/>
          <w:bCs/>
          <w:sz w:val="40"/>
          <w:szCs w:val="40"/>
          <w:lang w:val="es-AR"/>
        </w:rPr>
      </w:pPr>
      <w:r w:rsidRPr="0078238E">
        <w:rPr>
          <w:b/>
          <w:bCs/>
          <w:sz w:val="48"/>
          <w:szCs w:val="48"/>
          <w:lang w:val="es-AR"/>
        </w:rPr>
        <w:br/>
      </w:r>
      <w:r w:rsidRPr="00B44FAE">
        <w:rPr>
          <w:b/>
          <w:bCs/>
          <w:sz w:val="48"/>
          <w:szCs w:val="48"/>
          <w:lang w:val="es-AR"/>
        </w:rPr>
        <w:t>Taller</w:t>
      </w:r>
      <w:r w:rsidRPr="00150D8D">
        <w:rPr>
          <w:b/>
          <w:bCs/>
          <w:color w:val="000000"/>
          <w:sz w:val="48"/>
          <w:szCs w:val="48"/>
          <w:lang w:val="es-AR"/>
        </w:rPr>
        <w:t xml:space="preserve"> Internacional</w:t>
      </w:r>
      <w:r w:rsidRPr="00B44FAE">
        <w:rPr>
          <w:b/>
          <w:bCs/>
          <w:sz w:val="48"/>
          <w:szCs w:val="48"/>
          <w:lang w:val="es-AR"/>
        </w:rPr>
        <w:br/>
      </w:r>
      <w:r w:rsidRPr="00B44FAE">
        <w:rPr>
          <w:b/>
          <w:bCs/>
          <w:sz w:val="40"/>
          <w:szCs w:val="40"/>
          <w:lang w:val="es-AR"/>
        </w:rPr>
        <w:t xml:space="preserve">"De la Microestructura al Diseño por Vida </w:t>
      </w:r>
      <w:proofErr w:type="spellStart"/>
      <w:r w:rsidRPr="00B44FAE">
        <w:rPr>
          <w:b/>
          <w:bCs/>
          <w:sz w:val="40"/>
          <w:szCs w:val="40"/>
          <w:lang w:val="es-AR"/>
        </w:rPr>
        <w:t>Util</w:t>
      </w:r>
      <w:proofErr w:type="spellEnd"/>
      <w:r w:rsidRPr="00B44FAE">
        <w:rPr>
          <w:b/>
          <w:bCs/>
          <w:sz w:val="40"/>
          <w:szCs w:val="40"/>
          <w:lang w:val="es-AR"/>
        </w:rPr>
        <w:t>"</w:t>
      </w:r>
    </w:p>
    <w:p w:rsidR="00AE1491" w:rsidRPr="00B44FAE" w:rsidRDefault="00AE1491" w:rsidP="0050653F">
      <w:pPr>
        <w:spacing w:after="120"/>
        <w:ind w:right="-540"/>
        <w:jc w:val="center"/>
        <w:rPr>
          <w:b/>
          <w:bCs/>
          <w:sz w:val="36"/>
          <w:szCs w:val="36"/>
          <w:lang w:val="es-AR"/>
        </w:rPr>
      </w:pPr>
    </w:p>
    <w:p w:rsidR="00AE1491" w:rsidRPr="00B44FAE" w:rsidRDefault="00AE1491" w:rsidP="0050653F">
      <w:pPr>
        <w:spacing w:after="120"/>
        <w:ind w:right="-540"/>
        <w:jc w:val="center"/>
        <w:rPr>
          <w:b/>
          <w:bCs/>
          <w:sz w:val="36"/>
          <w:szCs w:val="36"/>
          <w:lang w:val="es-AR"/>
        </w:rPr>
      </w:pPr>
      <w:r>
        <w:rPr>
          <w:b/>
          <w:bCs/>
          <w:sz w:val="36"/>
          <w:szCs w:val="36"/>
          <w:lang w:val="es-AR"/>
        </w:rPr>
        <w:t>Buenos Aires</w:t>
      </w:r>
      <w:r w:rsidRPr="00B44FAE">
        <w:rPr>
          <w:b/>
          <w:bCs/>
          <w:sz w:val="36"/>
          <w:szCs w:val="36"/>
          <w:lang w:val="es-AR"/>
        </w:rPr>
        <w:t xml:space="preserve">, </w:t>
      </w:r>
      <w:r w:rsidR="00C8422D" w:rsidRPr="00C8422D">
        <w:rPr>
          <w:b/>
          <w:bCs/>
          <w:color w:val="000000" w:themeColor="text1"/>
          <w:sz w:val="36"/>
          <w:szCs w:val="36"/>
          <w:lang w:val="es-AR"/>
        </w:rPr>
        <w:t>14</w:t>
      </w:r>
      <w:r w:rsidRPr="00C8422D">
        <w:rPr>
          <w:b/>
          <w:bCs/>
          <w:color w:val="000000" w:themeColor="text1"/>
          <w:sz w:val="36"/>
          <w:szCs w:val="36"/>
          <w:lang w:val="es-AR"/>
        </w:rPr>
        <w:t>-</w:t>
      </w:r>
      <w:r w:rsidR="00691AAD" w:rsidRPr="00C8422D">
        <w:rPr>
          <w:b/>
          <w:bCs/>
          <w:color w:val="000000" w:themeColor="text1"/>
          <w:sz w:val="36"/>
          <w:szCs w:val="36"/>
          <w:lang w:val="es-AR"/>
        </w:rPr>
        <w:t>1</w:t>
      </w:r>
      <w:r w:rsidR="00C8422D" w:rsidRPr="00C8422D">
        <w:rPr>
          <w:b/>
          <w:bCs/>
          <w:color w:val="000000" w:themeColor="text1"/>
          <w:sz w:val="36"/>
          <w:szCs w:val="36"/>
          <w:lang w:val="es-AR"/>
        </w:rPr>
        <w:t>7</w:t>
      </w:r>
      <w:r w:rsidR="00691AAD" w:rsidRPr="00C8422D">
        <w:rPr>
          <w:b/>
          <w:bCs/>
          <w:color w:val="000000" w:themeColor="text1"/>
          <w:sz w:val="36"/>
          <w:szCs w:val="36"/>
          <w:lang w:val="es-AR"/>
        </w:rPr>
        <w:t xml:space="preserve"> de</w:t>
      </w:r>
      <w:r w:rsidRPr="00B44FAE">
        <w:rPr>
          <w:b/>
          <w:bCs/>
          <w:sz w:val="36"/>
          <w:szCs w:val="36"/>
          <w:lang w:val="es-AR"/>
        </w:rPr>
        <w:t xml:space="preserve"> </w:t>
      </w:r>
      <w:r>
        <w:rPr>
          <w:b/>
          <w:bCs/>
          <w:sz w:val="36"/>
          <w:szCs w:val="36"/>
          <w:lang w:val="es-AR"/>
        </w:rPr>
        <w:t>Abril de</w:t>
      </w:r>
      <w:r w:rsidRPr="00B44FAE">
        <w:rPr>
          <w:b/>
          <w:bCs/>
          <w:sz w:val="36"/>
          <w:szCs w:val="36"/>
          <w:lang w:val="es-AR"/>
        </w:rPr>
        <w:t xml:space="preserve"> 201</w:t>
      </w:r>
      <w:r w:rsidR="00691AAD">
        <w:rPr>
          <w:b/>
          <w:bCs/>
          <w:sz w:val="36"/>
          <w:szCs w:val="36"/>
          <w:lang w:val="es-AR"/>
        </w:rPr>
        <w:t>5</w:t>
      </w:r>
    </w:p>
    <w:p w:rsidR="00AE1491" w:rsidRPr="00B44FAE" w:rsidRDefault="00AE1491" w:rsidP="0050653F">
      <w:pPr>
        <w:spacing w:after="120"/>
        <w:rPr>
          <w:lang w:val="es-AR"/>
        </w:rPr>
      </w:pPr>
    </w:p>
    <w:p w:rsidR="00AE1491" w:rsidRPr="00B44FAE" w:rsidRDefault="00AE1491" w:rsidP="0050653F">
      <w:pPr>
        <w:jc w:val="center"/>
        <w:rPr>
          <w:sz w:val="28"/>
          <w:szCs w:val="28"/>
          <w:lang w:val="es-AR"/>
        </w:rPr>
      </w:pPr>
      <w:r w:rsidRPr="00B44FAE">
        <w:rPr>
          <w:b/>
          <w:bCs/>
          <w:sz w:val="28"/>
          <w:szCs w:val="28"/>
          <w:lang w:val="es-AR"/>
        </w:rPr>
        <w:t>Comi</w:t>
      </w:r>
      <w:r>
        <w:rPr>
          <w:b/>
          <w:bCs/>
          <w:sz w:val="28"/>
          <w:szCs w:val="28"/>
          <w:lang w:val="es-AR"/>
        </w:rPr>
        <w:t>t</w:t>
      </w:r>
      <w:r w:rsidRPr="00B44FAE">
        <w:rPr>
          <w:b/>
          <w:bCs/>
          <w:sz w:val="28"/>
          <w:szCs w:val="28"/>
          <w:lang w:val="es-AR"/>
        </w:rPr>
        <w:t>é Científico</w:t>
      </w:r>
    </w:p>
    <w:p w:rsidR="00AE1491" w:rsidRPr="00B44FAE" w:rsidRDefault="00AE1491" w:rsidP="0050653F">
      <w:pPr>
        <w:jc w:val="center"/>
        <w:rPr>
          <w:sz w:val="28"/>
          <w:szCs w:val="28"/>
          <w:lang w:val="es-AR"/>
        </w:rPr>
      </w:pPr>
      <w:r w:rsidRPr="00B44FAE">
        <w:rPr>
          <w:sz w:val="28"/>
          <w:szCs w:val="28"/>
          <w:lang w:val="es-AR"/>
        </w:rPr>
        <w:t xml:space="preserve">Prof. K. </w:t>
      </w:r>
      <w:proofErr w:type="spellStart"/>
      <w:r w:rsidRPr="00B44FAE">
        <w:rPr>
          <w:sz w:val="28"/>
          <w:szCs w:val="28"/>
          <w:lang w:val="es-AR"/>
        </w:rPr>
        <w:t>Scr</w:t>
      </w:r>
      <w:r>
        <w:rPr>
          <w:sz w:val="28"/>
          <w:szCs w:val="28"/>
          <w:lang w:val="es-AR"/>
        </w:rPr>
        <w:t>ivener</w:t>
      </w:r>
      <w:proofErr w:type="spellEnd"/>
      <w:r>
        <w:rPr>
          <w:sz w:val="28"/>
          <w:szCs w:val="28"/>
          <w:lang w:val="es-AR"/>
        </w:rPr>
        <w:t>, Prof. L. Fernández Luco</w:t>
      </w:r>
      <w:r w:rsidR="00691AAD">
        <w:rPr>
          <w:sz w:val="28"/>
          <w:szCs w:val="28"/>
          <w:lang w:val="es-AR"/>
        </w:rPr>
        <w:t xml:space="preserve">, </w:t>
      </w:r>
      <w:r w:rsidR="00F35E14">
        <w:rPr>
          <w:sz w:val="28"/>
          <w:szCs w:val="28"/>
          <w:lang w:val="es-AR"/>
        </w:rPr>
        <w:t xml:space="preserve">Prof. </w:t>
      </w:r>
      <w:bookmarkStart w:id="0" w:name="_GoBack"/>
      <w:bookmarkEnd w:id="0"/>
      <w:r w:rsidR="00691AAD">
        <w:rPr>
          <w:sz w:val="28"/>
          <w:szCs w:val="28"/>
          <w:lang w:val="es-AR"/>
        </w:rPr>
        <w:t xml:space="preserve">E. F. </w:t>
      </w:r>
      <w:proofErr w:type="spellStart"/>
      <w:r w:rsidR="00691AAD">
        <w:rPr>
          <w:sz w:val="28"/>
          <w:szCs w:val="28"/>
          <w:lang w:val="es-AR"/>
        </w:rPr>
        <w:t>Irassar</w:t>
      </w:r>
      <w:proofErr w:type="spellEnd"/>
      <w:r w:rsidRPr="00B44FAE">
        <w:rPr>
          <w:sz w:val="28"/>
          <w:szCs w:val="28"/>
          <w:lang w:val="es-AR"/>
        </w:rPr>
        <w:t xml:space="preserve"> </w:t>
      </w:r>
      <w:r>
        <w:rPr>
          <w:sz w:val="28"/>
          <w:szCs w:val="28"/>
          <w:lang w:val="es-AR"/>
        </w:rPr>
        <w:t>y</w:t>
      </w:r>
      <w:r w:rsidRPr="00B44FAE">
        <w:rPr>
          <w:sz w:val="28"/>
          <w:szCs w:val="28"/>
          <w:lang w:val="es-AR"/>
        </w:rPr>
        <w:t xml:space="preserve"> Dr. R. </w:t>
      </w:r>
      <w:proofErr w:type="spellStart"/>
      <w:r w:rsidRPr="00B44FAE">
        <w:rPr>
          <w:sz w:val="28"/>
          <w:szCs w:val="28"/>
          <w:lang w:val="es-AR"/>
        </w:rPr>
        <w:t>Torrent</w:t>
      </w:r>
      <w:proofErr w:type="spellEnd"/>
    </w:p>
    <w:p w:rsidR="00AE1491" w:rsidRPr="00B44FAE" w:rsidRDefault="00AE1491" w:rsidP="0050653F">
      <w:pPr>
        <w:rPr>
          <w:lang w:val="es-AR"/>
        </w:rPr>
      </w:pPr>
    </w:p>
    <w:p w:rsidR="00AE1491" w:rsidRPr="00B44FAE" w:rsidRDefault="00AE1491" w:rsidP="0050653F">
      <w:pPr>
        <w:jc w:val="center"/>
        <w:rPr>
          <w:sz w:val="28"/>
          <w:szCs w:val="28"/>
          <w:lang w:val="es-AR"/>
        </w:rPr>
      </w:pPr>
      <w:r w:rsidRPr="00B44FAE">
        <w:rPr>
          <w:b/>
          <w:bCs/>
          <w:sz w:val="28"/>
          <w:szCs w:val="28"/>
          <w:lang w:val="es-AR"/>
        </w:rPr>
        <w:t>Organizadores</w:t>
      </w:r>
      <w:r w:rsidRPr="00B44FAE">
        <w:rPr>
          <w:sz w:val="28"/>
          <w:szCs w:val="28"/>
          <w:lang w:val="es-AR"/>
        </w:rPr>
        <w:t xml:space="preserve"> </w:t>
      </w:r>
    </w:p>
    <w:p w:rsidR="00AE1491" w:rsidRPr="00D47111" w:rsidRDefault="00AE1491" w:rsidP="0050653F">
      <w:pPr>
        <w:jc w:val="center"/>
        <w:rPr>
          <w:color w:val="000000" w:themeColor="text1"/>
          <w:sz w:val="28"/>
          <w:szCs w:val="28"/>
          <w:lang w:val="es-AR"/>
        </w:rPr>
      </w:pPr>
      <w:r w:rsidRPr="00B44FAE">
        <w:rPr>
          <w:sz w:val="28"/>
          <w:szCs w:val="28"/>
          <w:lang w:val="es-AR"/>
        </w:rPr>
        <w:t xml:space="preserve">RILEM, </w:t>
      </w:r>
      <w:proofErr w:type="spellStart"/>
      <w:r w:rsidRPr="00B44FAE">
        <w:rPr>
          <w:sz w:val="28"/>
          <w:szCs w:val="28"/>
          <w:lang w:val="es-AR"/>
        </w:rPr>
        <w:t>Nanocem</w:t>
      </w:r>
      <w:proofErr w:type="spellEnd"/>
      <w:r>
        <w:rPr>
          <w:sz w:val="28"/>
          <w:szCs w:val="28"/>
          <w:lang w:val="es-AR"/>
        </w:rPr>
        <w:t xml:space="preserve">, </w:t>
      </w:r>
      <w:r w:rsidRPr="00B44FAE">
        <w:rPr>
          <w:sz w:val="28"/>
          <w:szCs w:val="28"/>
          <w:lang w:val="es-AR"/>
        </w:rPr>
        <w:t xml:space="preserve">Univ. </w:t>
      </w:r>
      <w:r>
        <w:rPr>
          <w:sz w:val="28"/>
          <w:szCs w:val="28"/>
          <w:lang w:val="es-AR"/>
        </w:rPr>
        <w:t>de Buenos Aires y AA</w:t>
      </w:r>
      <w:r w:rsidR="00691AAD">
        <w:rPr>
          <w:sz w:val="28"/>
          <w:szCs w:val="28"/>
          <w:lang w:val="es-AR"/>
        </w:rPr>
        <w:t>TH</w:t>
      </w:r>
      <w:r>
        <w:rPr>
          <w:sz w:val="28"/>
          <w:szCs w:val="28"/>
          <w:lang w:val="es-AR"/>
        </w:rPr>
        <w:t xml:space="preserve"> (Asociación </w:t>
      </w:r>
      <w:r w:rsidRPr="00D47111">
        <w:rPr>
          <w:color w:val="000000" w:themeColor="text1"/>
          <w:sz w:val="28"/>
          <w:szCs w:val="28"/>
          <w:lang w:val="es-AR"/>
        </w:rPr>
        <w:t xml:space="preserve">Argentina de </w:t>
      </w:r>
      <w:r w:rsidR="0064084C" w:rsidRPr="00D47111">
        <w:rPr>
          <w:color w:val="000000" w:themeColor="text1"/>
          <w:sz w:val="28"/>
          <w:szCs w:val="28"/>
          <w:lang w:val="es-AR"/>
        </w:rPr>
        <w:t>Tecnología del Hormigón</w:t>
      </w:r>
      <w:r w:rsidRPr="00D47111">
        <w:rPr>
          <w:color w:val="000000" w:themeColor="text1"/>
          <w:sz w:val="28"/>
          <w:szCs w:val="28"/>
          <w:lang w:val="es-AR"/>
        </w:rPr>
        <w:t>)</w:t>
      </w:r>
    </w:p>
    <w:p w:rsidR="00AE1491" w:rsidRPr="00B44FAE" w:rsidRDefault="00AE1491" w:rsidP="00FC4EC1">
      <w:pPr>
        <w:spacing w:after="120"/>
        <w:jc w:val="center"/>
        <w:rPr>
          <w:sz w:val="28"/>
          <w:szCs w:val="28"/>
          <w:lang w:val="es-AR"/>
        </w:rPr>
      </w:pPr>
    </w:p>
    <w:p w:rsidR="00AE1491" w:rsidRPr="00B44FAE" w:rsidRDefault="00AE1491" w:rsidP="00FC4EC1">
      <w:pPr>
        <w:spacing w:after="120"/>
        <w:jc w:val="center"/>
        <w:rPr>
          <w:b/>
          <w:bCs/>
          <w:sz w:val="28"/>
          <w:szCs w:val="28"/>
          <w:lang w:val="es-AR"/>
        </w:rPr>
      </w:pPr>
      <w:r w:rsidRPr="00B44FAE">
        <w:rPr>
          <w:b/>
          <w:bCs/>
          <w:sz w:val="28"/>
          <w:szCs w:val="28"/>
          <w:lang w:val="es-AR"/>
        </w:rPr>
        <w:t>Objetivo y Concepto</w:t>
      </w:r>
    </w:p>
    <w:p w:rsidR="00AE1491" w:rsidRPr="00B44FAE" w:rsidRDefault="00AE1491" w:rsidP="00FC4EC1">
      <w:pPr>
        <w:spacing w:after="120"/>
        <w:jc w:val="both"/>
        <w:rPr>
          <w:sz w:val="22"/>
          <w:szCs w:val="22"/>
          <w:lang w:val="es-AR"/>
        </w:rPr>
      </w:pPr>
      <w:r w:rsidRPr="00B44FAE">
        <w:rPr>
          <w:sz w:val="22"/>
          <w:szCs w:val="22"/>
          <w:lang w:val="es-AR"/>
        </w:rPr>
        <w:t xml:space="preserve">La necesidad de nuevas y mejores infraestructuras en América Latina, impulsada por la vitalidad económica de la región, pone a prueba el modo en que se diseñan y construyen las estructuras de </w:t>
      </w:r>
      <w:r>
        <w:rPr>
          <w:sz w:val="22"/>
          <w:szCs w:val="22"/>
          <w:lang w:val="es-AR"/>
        </w:rPr>
        <w:t>hormigón</w:t>
      </w:r>
      <w:r w:rsidRPr="00B44FAE">
        <w:rPr>
          <w:sz w:val="22"/>
          <w:szCs w:val="22"/>
          <w:lang w:val="es-AR"/>
        </w:rPr>
        <w:t xml:space="preserve">, a fin de evitar la repetición de errores cometidos por países que siguieron ese camino décadas atrás. Dichos errores resultan en enormes </w:t>
      </w:r>
      <w:r>
        <w:rPr>
          <w:sz w:val="22"/>
          <w:szCs w:val="22"/>
          <w:lang w:val="es-AR"/>
        </w:rPr>
        <w:t>erogaciones</w:t>
      </w:r>
      <w:r w:rsidRPr="00B44FAE">
        <w:rPr>
          <w:sz w:val="22"/>
          <w:szCs w:val="22"/>
          <w:lang w:val="es-AR"/>
        </w:rPr>
        <w:t xml:space="preserve"> destinadas al mantenimiento</w:t>
      </w:r>
      <w:r>
        <w:rPr>
          <w:sz w:val="22"/>
          <w:szCs w:val="22"/>
          <w:lang w:val="es-AR"/>
        </w:rPr>
        <w:t xml:space="preserve"> correctivo</w:t>
      </w:r>
      <w:r w:rsidRPr="00B44FAE">
        <w:rPr>
          <w:sz w:val="22"/>
          <w:szCs w:val="22"/>
          <w:lang w:val="es-AR"/>
        </w:rPr>
        <w:t xml:space="preserve"> y reparación de estructuras existentes.</w:t>
      </w:r>
      <w:r>
        <w:rPr>
          <w:sz w:val="22"/>
          <w:szCs w:val="22"/>
          <w:lang w:val="es-AR"/>
        </w:rPr>
        <w:t xml:space="preserve"> En países emergentes </w:t>
      </w:r>
      <w:r w:rsidRPr="00B44FAE">
        <w:rPr>
          <w:sz w:val="22"/>
          <w:szCs w:val="22"/>
          <w:lang w:val="es-AR"/>
        </w:rPr>
        <w:t>esto resta al mercado de la construcción recursos urgentemente requeridos para nuevas obras.</w:t>
      </w:r>
    </w:p>
    <w:p w:rsidR="00AE1491" w:rsidRDefault="00AE1491" w:rsidP="00FC4EC1">
      <w:pPr>
        <w:spacing w:after="120"/>
        <w:jc w:val="both"/>
        <w:rPr>
          <w:sz w:val="22"/>
          <w:szCs w:val="22"/>
          <w:lang w:val="es-AR"/>
        </w:rPr>
      </w:pPr>
      <w:r>
        <w:rPr>
          <w:sz w:val="22"/>
          <w:szCs w:val="22"/>
          <w:lang w:val="es-AR"/>
        </w:rPr>
        <w:t>Tradic</w:t>
      </w:r>
      <w:r w:rsidRPr="00B44FAE">
        <w:rPr>
          <w:sz w:val="22"/>
          <w:szCs w:val="22"/>
          <w:lang w:val="es-AR"/>
        </w:rPr>
        <w:t>ional</w:t>
      </w:r>
      <w:r>
        <w:rPr>
          <w:sz w:val="22"/>
          <w:szCs w:val="22"/>
          <w:lang w:val="es-AR"/>
        </w:rPr>
        <w:t>mente</w:t>
      </w:r>
      <w:r w:rsidRPr="00B44FAE">
        <w:rPr>
          <w:sz w:val="22"/>
          <w:szCs w:val="22"/>
          <w:lang w:val="es-AR"/>
        </w:rPr>
        <w:t xml:space="preserve">, </w:t>
      </w:r>
      <w:r>
        <w:rPr>
          <w:sz w:val="22"/>
          <w:szCs w:val="22"/>
          <w:lang w:val="es-AR"/>
        </w:rPr>
        <w:t>la durabilidad y el diseño por vida útil eran temas reservados a los propietarios (entes gubernamentales y promotores privados). Hoy, como resultado de frecuentes contratos</w:t>
      </w:r>
      <w:r w:rsidRPr="00B44FAE">
        <w:rPr>
          <w:sz w:val="22"/>
          <w:szCs w:val="22"/>
          <w:lang w:val="es-AR"/>
        </w:rPr>
        <w:t xml:space="preserve"> </w:t>
      </w:r>
      <w:r>
        <w:rPr>
          <w:sz w:val="22"/>
          <w:szCs w:val="22"/>
          <w:lang w:val="es-AR"/>
        </w:rPr>
        <w:t>del tipo</w:t>
      </w:r>
      <w:r w:rsidRPr="00B44FAE">
        <w:rPr>
          <w:sz w:val="22"/>
          <w:szCs w:val="22"/>
          <w:lang w:val="es-AR"/>
        </w:rPr>
        <w:t xml:space="preserve"> </w:t>
      </w:r>
      <w:r>
        <w:rPr>
          <w:sz w:val="22"/>
          <w:szCs w:val="22"/>
          <w:lang w:val="es-AR"/>
        </w:rPr>
        <w:t>"</w:t>
      </w:r>
      <w:proofErr w:type="spellStart"/>
      <w:r w:rsidRPr="00B44FAE">
        <w:rPr>
          <w:sz w:val="22"/>
          <w:szCs w:val="22"/>
          <w:lang w:val="es-AR"/>
        </w:rPr>
        <w:t>Design</w:t>
      </w:r>
      <w:proofErr w:type="spellEnd"/>
      <w:r w:rsidRPr="00B44FAE">
        <w:rPr>
          <w:sz w:val="22"/>
          <w:szCs w:val="22"/>
          <w:lang w:val="es-AR"/>
        </w:rPr>
        <w:t xml:space="preserve">, </w:t>
      </w:r>
      <w:proofErr w:type="spellStart"/>
      <w:r w:rsidRPr="00B44FAE">
        <w:rPr>
          <w:sz w:val="22"/>
          <w:szCs w:val="22"/>
          <w:lang w:val="es-AR"/>
        </w:rPr>
        <w:t>Build</w:t>
      </w:r>
      <w:proofErr w:type="spellEnd"/>
      <w:r w:rsidRPr="00B44FAE">
        <w:rPr>
          <w:sz w:val="22"/>
          <w:szCs w:val="22"/>
          <w:lang w:val="es-AR"/>
        </w:rPr>
        <w:t xml:space="preserve"> and </w:t>
      </w:r>
      <w:proofErr w:type="spellStart"/>
      <w:r w:rsidRPr="00B44FAE">
        <w:rPr>
          <w:sz w:val="22"/>
          <w:szCs w:val="22"/>
          <w:lang w:val="es-AR"/>
        </w:rPr>
        <w:t>Operate</w:t>
      </w:r>
      <w:proofErr w:type="spellEnd"/>
      <w:r>
        <w:rPr>
          <w:sz w:val="22"/>
          <w:szCs w:val="22"/>
          <w:lang w:val="es-AR"/>
        </w:rPr>
        <w:t>"</w:t>
      </w:r>
      <w:r w:rsidRPr="00B44FAE">
        <w:rPr>
          <w:sz w:val="22"/>
          <w:szCs w:val="22"/>
          <w:lang w:val="es-AR"/>
        </w:rPr>
        <w:t xml:space="preserve">, </w:t>
      </w:r>
      <w:r>
        <w:rPr>
          <w:sz w:val="22"/>
          <w:szCs w:val="22"/>
          <w:lang w:val="es-AR"/>
        </w:rPr>
        <w:t>los proyectistas y constructores se ven también involucrados en el diseño y evaluación de la vida útil.</w:t>
      </w:r>
    </w:p>
    <w:p w:rsidR="00AE1491" w:rsidRPr="00B44FAE" w:rsidRDefault="00AE1491" w:rsidP="00FC4EC1">
      <w:pPr>
        <w:spacing w:after="120"/>
        <w:jc w:val="both"/>
        <w:rPr>
          <w:sz w:val="22"/>
          <w:szCs w:val="22"/>
          <w:lang w:val="es-AR"/>
        </w:rPr>
      </w:pPr>
      <w:r>
        <w:rPr>
          <w:sz w:val="22"/>
          <w:szCs w:val="22"/>
          <w:lang w:val="es-AR"/>
        </w:rPr>
        <w:t>La comunidad científica ha estado siguiendo y a menudo liderando la preocupación por el tema de durabilidad. En los últimos 30 años se han hecho considerables progresos para entender los mecanismos de deterioro de las estructuras de hormigón armado y, particularmente en la última década, en desarrollar métodos de ensayo y herramientas cuantitativas orientadas a pronosticar la vida útil de dichas estructuras.</w:t>
      </w:r>
    </w:p>
    <w:p w:rsidR="00AE1491" w:rsidRDefault="00AE1491" w:rsidP="00FC4EC1">
      <w:pPr>
        <w:spacing w:after="120"/>
        <w:jc w:val="both"/>
        <w:rPr>
          <w:sz w:val="22"/>
          <w:szCs w:val="22"/>
          <w:lang w:val="es-AR"/>
        </w:rPr>
      </w:pPr>
      <w:r>
        <w:rPr>
          <w:sz w:val="22"/>
          <w:szCs w:val="22"/>
          <w:lang w:val="es-AR"/>
        </w:rPr>
        <w:t>Los organizadores están convencidos de que afrontar con éxito el tema de diseño y evaluación de vida útil requiere una sólida comprensión de la microestructura del hormigón (especialmente de su fase continua, la pasta de cemento endurecida) y de los mecanismos de penetración de agentes agresivos a través del material. De ahí el título y contenido del Taller que se ofrece, que estará focalizado en el caso principal y más difundido</w:t>
      </w:r>
      <w:r w:rsidRPr="00B44FAE">
        <w:rPr>
          <w:sz w:val="22"/>
          <w:szCs w:val="22"/>
          <w:lang w:val="es-AR"/>
        </w:rPr>
        <w:t xml:space="preserve"> </w:t>
      </w:r>
      <w:r>
        <w:rPr>
          <w:sz w:val="22"/>
          <w:szCs w:val="22"/>
          <w:lang w:val="es-AR"/>
        </w:rPr>
        <w:t>de deterioro de estructuras de hormigón armado: la corrosión del acero de refuerzo.</w:t>
      </w:r>
    </w:p>
    <w:p w:rsidR="00AE1491" w:rsidRDefault="00AE1491" w:rsidP="00FC4EC1">
      <w:pPr>
        <w:spacing w:after="120"/>
        <w:jc w:val="both"/>
        <w:rPr>
          <w:sz w:val="22"/>
          <w:szCs w:val="22"/>
          <w:lang w:val="es-AR"/>
        </w:rPr>
      </w:pPr>
      <w:r>
        <w:rPr>
          <w:sz w:val="22"/>
          <w:szCs w:val="22"/>
          <w:lang w:val="es-AR"/>
        </w:rPr>
        <w:lastRenderedPageBreak/>
        <w:t>Una parte de las lecciones cubren los aspectos químicos y físicos que definen la microestructura del hormigón, así como los principales mecanismos de penetración y flujo de sustancias nocivas a través de la intrincada red de poros del material.</w:t>
      </w:r>
    </w:p>
    <w:p w:rsidR="00AE1491" w:rsidRPr="00B44FAE" w:rsidRDefault="00AE1491" w:rsidP="00FC4EC1">
      <w:pPr>
        <w:spacing w:after="120"/>
        <w:jc w:val="both"/>
        <w:rPr>
          <w:sz w:val="22"/>
          <w:szCs w:val="22"/>
          <w:lang w:val="es-AR"/>
        </w:rPr>
      </w:pPr>
      <w:r>
        <w:rPr>
          <w:sz w:val="22"/>
          <w:szCs w:val="22"/>
          <w:lang w:val="es-AR"/>
        </w:rPr>
        <w:t xml:space="preserve">Se discuten también los principios de corrosión del acero en el hormigón, expuesto a ambientes ricos en </w:t>
      </w:r>
      <w:r w:rsidRPr="00B44FAE">
        <w:rPr>
          <w:sz w:val="22"/>
          <w:szCs w:val="22"/>
          <w:lang w:val="es-AR"/>
        </w:rPr>
        <w:t>CO</w:t>
      </w:r>
      <w:r w:rsidRPr="00B44FAE">
        <w:rPr>
          <w:sz w:val="22"/>
          <w:szCs w:val="22"/>
          <w:vertAlign w:val="subscript"/>
          <w:lang w:val="es-AR"/>
        </w:rPr>
        <w:t>2</w:t>
      </w:r>
      <w:r w:rsidRPr="00B44FAE">
        <w:rPr>
          <w:sz w:val="22"/>
          <w:szCs w:val="22"/>
          <w:lang w:val="es-AR"/>
        </w:rPr>
        <w:t xml:space="preserve"> </w:t>
      </w:r>
      <w:r>
        <w:rPr>
          <w:sz w:val="22"/>
          <w:szCs w:val="22"/>
          <w:lang w:val="es-AR"/>
        </w:rPr>
        <w:t>y cloruros, así como las condiciones necesarias para que la corrosión se inicie y propague.</w:t>
      </w:r>
    </w:p>
    <w:p w:rsidR="00AE1491" w:rsidRDefault="00AE1491" w:rsidP="00FC4EC1">
      <w:pPr>
        <w:spacing w:after="120"/>
        <w:jc w:val="both"/>
        <w:rPr>
          <w:sz w:val="22"/>
          <w:szCs w:val="22"/>
          <w:lang w:val="es-AR"/>
        </w:rPr>
      </w:pPr>
      <w:r>
        <w:rPr>
          <w:sz w:val="22"/>
          <w:szCs w:val="22"/>
          <w:lang w:val="es-AR"/>
        </w:rPr>
        <w:t>Se tratarán las tendencias actuales de los cuerpos normativos de moverse del enfoque prescriptivo a uno prestacional. Como ello requiere ensayos adecuados (tanto de laboratorio como de campo), se describirán detalladamente los métodos normalizados existentes, señalando sus fortalezas y debilidades y guiando hacia la correcta interpretación de sus resultados. Además, los participantes dispondrán de un día para realizar esos ensayos con sus propias manos o para presenciar sus etapas críticas.</w:t>
      </w:r>
    </w:p>
    <w:p w:rsidR="00AE1491" w:rsidRPr="00B44FAE" w:rsidRDefault="00AE1491" w:rsidP="00FC4EC1">
      <w:pPr>
        <w:spacing w:after="120"/>
        <w:jc w:val="both"/>
        <w:rPr>
          <w:sz w:val="22"/>
          <w:szCs w:val="22"/>
          <w:lang w:val="es-AR"/>
        </w:rPr>
      </w:pPr>
      <w:r w:rsidRPr="00B44FAE">
        <w:rPr>
          <w:sz w:val="22"/>
          <w:szCs w:val="22"/>
          <w:lang w:val="es-AR"/>
        </w:rPr>
        <w:t>Final</w:t>
      </w:r>
      <w:r>
        <w:rPr>
          <w:sz w:val="22"/>
          <w:szCs w:val="22"/>
          <w:lang w:val="es-AR"/>
        </w:rPr>
        <w:t>mente se tratará el tema clave de pronóstico de vida útil, describiendo varios métodos disponibles y analizando su precisión y sensibilidad a los datos de entrada.  Con el objeto de reforzar la comprensión de los métodos seleccionados, los participantes desarrollarán grupalmente casos de estudio, con el apoyo de los profesores, con una discusión final de los resultados obtenidos.</w:t>
      </w:r>
    </w:p>
    <w:p w:rsidR="00AE1491" w:rsidRPr="00B44FAE" w:rsidRDefault="00AE1491" w:rsidP="00FC4EC1">
      <w:pPr>
        <w:spacing w:after="120"/>
        <w:jc w:val="both"/>
        <w:rPr>
          <w:sz w:val="22"/>
          <w:szCs w:val="22"/>
          <w:lang w:val="es-AR"/>
        </w:rPr>
      </w:pPr>
      <w:r>
        <w:rPr>
          <w:sz w:val="22"/>
          <w:szCs w:val="22"/>
          <w:lang w:val="es-AR"/>
        </w:rPr>
        <w:t>Se espera que, al finalizar el Taller, los participantes saldrán con una base sólida para enfrentar los desafíos de diseñar la vida útil de nuevas estructuras y/o evaluar la de estructuras existentes.</w:t>
      </w:r>
    </w:p>
    <w:p w:rsidR="00AE1491" w:rsidRPr="00B44FAE" w:rsidRDefault="00AE1491" w:rsidP="00FC4EC1">
      <w:pPr>
        <w:spacing w:after="120"/>
        <w:jc w:val="center"/>
        <w:rPr>
          <w:b/>
          <w:bCs/>
          <w:sz w:val="28"/>
          <w:szCs w:val="28"/>
          <w:lang w:val="es-AR"/>
        </w:rPr>
      </w:pPr>
      <w:r>
        <w:rPr>
          <w:b/>
          <w:bCs/>
          <w:sz w:val="28"/>
          <w:szCs w:val="28"/>
          <w:lang w:val="es-AR"/>
        </w:rPr>
        <w:t>Audiencia Sugerida</w:t>
      </w:r>
    </w:p>
    <w:p w:rsidR="00AE1491" w:rsidRPr="00B44FAE" w:rsidRDefault="00AE1491" w:rsidP="00D10252">
      <w:pPr>
        <w:numPr>
          <w:ilvl w:val="0"/>
          <w:numId w:val="1"/>
        </w:numPr>
        <w:tabs>
          <w:tab w:val="clear" w:pos="720"/>
          <w:tab w:val="num" w:pos="426"/>
        </w:tabs>
        <w:ind w:left="426" w:hanging="284"/>
        <w:rPr>
          <w:sz w:val="22"/>
          <w:szCs w:val="22"/>
          <w:lang w:val="es-AR"/>
        </w:rPr>
      </w:pPr>
      <w:r>
        <w:rPr>
          <w:sz w:val="22"/>
          <w:szCs w:val="22"/>
          <w:lang w:val="es-AR"/>
        </w:rPr>
        <w:t>Cuerpo profesional de empresas Proyectistas, Consultoras y Constructoras</w:t>
      </w:r>
    </w:p>
    <w:p w:rsidR="00AE1491" w:rsidRPr="00B44FAE" w:rsidRDefault="00AE1491" w:rsidP="00D10252">
      <w:pPr>
        <w:numPr>
          <w:ilvl w:val="0"/>
          <w:numId w:val="1"/>
        </w:numPr>
        <w:tabs>
          <w:tab w:val="clear" w:pos="720"/>
          <w:tab w:val="num" w:pos="426"/>
        </w:tabs>
        <w:ind w:left="426" w:hanging="284"/>
        <w:rPr>
          <w:sz w:val="22"/>
          <w:szCs w:val="22"/>
          <w:lang w:val="es-AR"/>
        </w:rPr>
      </w:pPr>
      <w:r>
        <w:rPr>
          <w:sz w:val="22"/>
          <w:szCs w:val="22"/>
          <w:lang w:val="es-AR"/>
        </w:rPr>
        <w:t>Cuerpo profesional de entes Gubernamentales dedicados a Infraestructura, Energía y Vivienda</w:t>
      </w:r>
      <w:r w:rsidRPr="00B44FAE">
        <w:rPr>
          <w:sz w:val="22"/>
          <w:szCs w:val="22"/>
          <w:lang w:val="es-AR"/>
        </w:rPr>
        <w:t xml:space="preserve"> </w:t>
      </w:r>
    </w:p>
    <w:p w:rsidR="00AE1491" w:rsidRPr="00B44FAE" w:rsidRDefault="00AE1491" w:rsidP="00D10252">
      <w:pPr>
        <w:numPr>
          <w:ilvl w:val="0"/>
          <w:numId w:val="1"/>
        </w:numPr>
        <w:tabs>
          <w:tab w:val="clear" w:pos="720"/>
          <w:tab w:val="num" w:pos="426"/>
        </w:tabs>
        <w:ind w:left="426" w:hanging="284"/>
        <w:rPr>
          <w:sz w:val="22"/>
          <w:szCs w:val="22"/>
          <w:lang w:val="es-AR"/>
        </w:rPr>
      </w:pPr>
      <w:r>
        <w:rPr>
          <w:sz w:val="22"/>
          <w:szCs w:val="22"/>
          <w:lang w:val="es-AR"/>
        </w:rPr>
        <w:t>Cuerpo profesional de proveedores de Materiales y Elementos de Construcción en Hormigón</w:t>
      </w:r>
      <w:r w:rsidRPr="00B44FAE">
        <w:rPr>
          <w:sz w:val="22"/>
          <w:szCs w:val="22"/>
          <w:lang w:val="es-AR"/>
        </w:rPr>
        <w:t xml:space="preserve"> </w:t>
      </w:r>
    </w:p>
    <w:p w:rsidR="00AE1491" w:rsidRPr="00B44FAE" w:rsidRDefault="00AE1491" w:rsidP="00D10252">
      <w:pPr>
        <w:numPr>
          <w:ilvl w:val="0"/>
          <w:numId w:val="1"/>
        </w:numPr>
        <w:tabs>
          <w:tab w:val="clear" w:pos="720"/>
          <w:tab w:val="num" w:pos="426"/>
        </w:tabs>
        <w:ind w:left="426" w:hanging="284"/>
        <w:rPr>
          <w:sz w:val="22"/>
          <w:szCs w:val="22"/>
          <w:lang w:val="es-AR"/>
        </w:rPr>
      </w:pPr>
      <w:r>
        <w:rPr>
          <w:sz w:val="22"/>
          <w:szCs w:val="22"/>
          <w:lang w:val="es-AR"/>
        </w:rPr>
        <w:t>Miembros de la comunidad Científica y Académica</w:t>
      </w:r>
    </w:p>
    <w:p w:rsidR="00AE1491" w:rsidRPr="00B44FAE" w:rsidRDefault="00AE1491" w:rsidP="00D10252">
      <w:pPr>
        <w:numPr>
          <w:ilvl w:val="0"/>
          <w:numId w:val="1"/>
        </w:numPr>
        <w:tabs>
          <w:tab w:val="clear" w:pos="720"/>
          <w:tab w:val="num" w:pos="426"/>
        </w:tabs>
        <w:ind w:left="426" w:hanging="284"/>
        <w:rPr>
          <w:sz w:val="22"/>
          <w:szCs w:val="22"/>
          <w:lang w:val="es-AR"/>
        </w:rPr>
      </w:pPr>
      <w:r>
        <w:rPr>
          <w:sz w:val="22"/>
          <w:szCs w:val="22"/>
          <w:lang w:val="es-AR"/>
        </w:rPr>
        <w:t>Consultores privados</w:t>
      </w:r>
    </w:p>
    <w:p w:rsidR="00AE1491" w:rsidRPr="00B44FAE" w:rsidRDefault="00AE1491" w:rsidP="00D10252">
      <w:pPr>
        <w:numPr>
          <w:ilvl w:val="0"/>
          <w:numId w:val="1"/>
        </w:numPr>
        <w:tabs>
          <w:tab w:val="clear" w:pos="720"/>
          <w:tab w:val="num" w:pos="426"/>
        </w:tabs>
        <w:ind w:left="426" w:hanging="284"/>
        <w:rPr>
          <w:sz w:val="22"/>
          <w:szCs w:val="22"/>
          <w:lang w:val="es-AR"/>
        </w:rPr>
      </w:pPr>
      <w:r>
        <w:rPr>
          <w:sz w:val="22"/>
          <w:szCs w:val="22"/>
          <w:lang w:val="es-AR"/>
        </w:rPr>
        <w:t>Cuerpo profesional de Laboratorios de ensayo, Públicos y Privados</w:t>
      </w:r>
    </w:p>
    <w:p w:rsidR="00AE1491" w:rsidRPr="00B44FAE" w:rsidRDefault="00AE1491" w:rsidP="00D10252">
      <w:pPr>
        <w:numPr>
          <w:ilvl w:val="0"/>
          <w:numId w:val="1"/>
        </w:numPr>
        <w:tabs>
          <w:tab w:val="clear" w:pos="720"/>
          <w:tab w:val="num" w:pos="426"/>
        </w:tabs>
        <w:ind w:left="426" w:hanging="284"/>
        <w:rPr>
          <w:sz w:val="22"/>
          <w:szCs w:val="22"/>
          <w:lang w:val="es-AR"/>
        </w:rPr>
      </w:pPr>
      <w:r>
        <w:rPr>
          <w:sz w:val="22"/>
          <w:szCs w:val="22"/>
          <w:lang w:val="es-AR"/>
        </w:rPr>
        <w:t>Estudiantes universitarios avanzados (recibirán une membrecía de RILEM sin cargo por 1 año)</w:t>
      </w:r>
    </w:p>
    <w:p w:rsidR="00AE1491" w:rsidRPr="00150D8D" w:rsidRDefault="00AE1491" w:rsidP="0050653F">
      <w:pPr>
        <w:spacing w:after="120"/>
        <w:jc w:val="center"/>
        <w:rPr>
          <w:b/>
          <w:bCs/>
          <w:color w:val="000000"/>
          <w:sz w:val="28"/>
          <w:szCs w:val="28"/>
          <w:lang w:val="es-AR"/>
        </w:rPr>
      </w:pPr>
      <w:r>
        <w:rPr>
          <w:b/>
          <w:bCs/>
          <w:sz w:val="28"/>
          <w:szCs w:val="28"/>
          <w:lang w:val="es-AR"/>
        </w:rPr>
        <w:br/>
      </w:r>
      <w:r w:rsidRPr="00150D8D">
        <w:rPr>
          <w:b/>
          <w:bCs/>
          <w:color w:val="000000"/>
          <w:sz w:val="28"/>
          <w:szCs w:val="28"/>
          <w:lang w:val="es-AR"/>
        </w:rPr>
        <w:t>Sede e Idioma</w:t>
      </w:r>
    </w:p>
    <w:p w:rsidR="00AE1491" w:rsidRPr="00150D8D" w:rsidRDefault="00AE1491" w:rsidP="008D2143">
      <w:pPr>
        <w:spacing w:after="120"/>
        <w:jc w:val="both"/>
        <w:rPr>
          <w:color w:val="000000"/>
          <w:sz w:val="22"/>
          <w:szCs w:val="22"/>
          <w:lang w:val="es-AR"/>
        </w:rPr>
      </w:pPr>
      <w:r w:rsidRPr="00150D8D">
        <w:rPr>
          <w:color w:val="000000"/>
          <w:sz w:val="22"/>
          <w:szCs w:val="22"/>
          <w:lang w:val="es-AR"/>
        </w:rPr>
        <w:t xml:space="preserve">Los días </w:t>
      </w:r>
      <w:r w:rsidR="00691AAD">
        <w:rPr>
          <w:color w:val="000000"/>
          <w:sz w:val="22"/>
          <w:szCs w:val="22"/>
          <w:lang w:val="es-AR"/>
        </w:rPr>
        <w:t>14</w:t>
      </w:r>
      <w:r w:rsidRPr="00150D8D">
        <w:rPr>
          <w:color w:val="000000"/>
          <w:sz w:val="22"/>
          <w:szCs w:val="22"/>
          <w:lang w:val="es-AR"/>
        </w:rPr>
        <w:t xml:space="preserve"> y </w:t>
      </w:r>
      <w:r w:rsidR="00691AAD">
        <w:rPr>
          <w:color w:val="000000"/>
          <w:sz w:val="22"/>
          <w:szCs w:val="22"/>
          <w:lang w:val="es-AR"/>
        </w:rPr>
        <w:t>15</w:t>
      </w:r>
      <w:r w:rsidRPr="00150D8D">
        <w:rPr>
          <w:color w:val="000000"/>
          <w:sz w:val="22"/>
          <w:szCs w:val="22"/>
          <w:lang w:val="es-AR"/>
        </w:rPr>
        <w:t xml:space="preserve"> se desarrollarán en el Auditorio del Instituto del Cemento Portland Argentino, San Martín 1137, en tanto que los días </w:t>
      </w:r>
      <w:r w:rsidR="00691AAD">
        <w:rPr>
          <w:color w:val="000000"/>
          <w:sz w:val="22"/>
          <w:szCs w:val="22"/>
          <w:lang w:val="es-AR"/>
        </w:rPr>
        <w:t>16</w:t>
      </w:r>
      <w:r w:rsidRPr="00150D8D">
        <w:rPr>
          <w:color w:val="000000"/>
          <w:sz w:val="22"/>
          <w:szCs w:val="22"/>
          <w:lang w:val="es-AR"/>
        </w:rPr>
        <w:t xml:space="preserve"> y </w:t>
      </w:r>
      <w:r w:rsidR="00691AAD">
        <w:rPr>
          <w:color w:val="000000"/>
          <w:sz w:val="22"/>
          <w:szCs w:val="22"/>
          <w:lang w:val="es-AR"/>
        </w:rPr>
        <w:t>17</w:t>
      </w:r>
      <w:r w:rsidRPr="00150D8D">
        <w:rPr>
          <w:color w:val="000000"/>
          <w:sz w:val="22"/>
          <w:szCs w:val="22"/>
          <w:lang w:val="es-AR"/>
        </w:rPr>
        <w:t xml:space="preserve"> se desarrollarán en las instalaciones del Departamento Construcciones del INTI (Instituto Nacional de Tecnología Industrial), Av. Gral. Paz 5445, ambos en la Ciudad de Buenos Aires. El Taller se desarrollará en </w:t>
      </w:r>
      <w:r w:rsidR="009E32E7">
        <w:rPr>
          <w:color w:val="000000"/>
          <w:sz w:val="22"/>
          <w:szCs w:val="22"/>
          <w:lang w:val="es-AR"/>
        </w:rPr>
        <w:t>español</w:t>
      </w:r>
      <w:r w:rsidRPr="00150D8D">
        <w:rPr>
          <w:color w:val="000000"/>
          <w:sz w:val="22"/>
          <w:szCs w:val="22"/>
          <w:lang w:val="es-AR"/>
        </w:rPr>
        <w:t xml:space="preserve">, </w:t>
      </w:r>
      <w:r w:rsidR="009E32E7">
        <w:rPr>
          <w:color w:val="000000"/>
          <w:sz w:val="22"/>
          <w:szCs w:val="22"/>
          <w:lang w:val="es-AR"/>
        </w:rPr>
        <w:t xml:space="preserve">mientras que </w:t>
      </w:r>
      <w:r w:rsidRPr="00150D8D">
        <w:rPr>
          <w:color w:val="000000"/>
          <w:sz w:val="22"/>
          <w:szCs w:val="22"/>
          <w:lang w:val="es-AR"/>
        </w:rPr>
        <w:t xml:space="preserve"> la Conferencia de la Prof. K. </w:t>
      </w:r>
      <w:proofErr w:type="spellStart"/>
      <w:r w:rsidRPr="00150D8D">
        <w:rPr>
          <w:color w:val="000000"/>
          <w:sz w:val="22"/>
          <w:szCs w:val="22"/>
          <w:lang w:val="es-AR"/>
        </w:rPr>
        <w:t>Scrivener</w:t>
      </w:r>
      <w:proofErr w:type="spellEnd"/>
      <w:r w:rsidRPr="00150D8D">
        <w:rPr>
          <w:color w:val="000000"/>
          <w:sz w:val="22"/>
          <w:szCs w:val="22"/>
          <w:lang w:val="es-AR"/>
        </w:rPr>
        <w:t xml:space="preserve"> </w:t>
      </w:r>
      <w:r w:rsidR="009E32E7">
        <w:rPr>
          <w:color w:val="000000"/>
          <w:sz w:val="22"/>
          <w:szCs w:val="22"/>
          <w:lang w:val="es-AR"/>
        </w:rPr>
        <w:t xml:space="preserve">será </w:t>
      </w:r>
      <w:r w:rsidRPr="00150D8D">
        <w:rPr>
          <w:color w:val="000000"/>
          <w:sz w:val="22"/>
          <w:szCs w:val="22"/>
          <w:lang w:val="es-AR"/>
        </w:rPr>
        <w:t xml:space="preserve">en </w:t>
      </w:r>
      <w:r w:rsidR="009E32E7">
        <w:rPr>
          <w:color w:val="000000"/>
          <w:sz w:val="22"/>
          <w:szCs w:val="22"/>
          <w:lang w:val="es-AR"/>
        </w:rPr>
        <w:t>i</w:t>
      </w:r>
      <w:r w:rsidRPr="00150D8D">
        <w:rPr>
          <w:color w:val="000000"/>
          <w:sz w:val="22"/>
          <w:szCs w:val="22"/>
          <w:lang w:val="es-AR"/>
        </w:rPr>
        <w:t xml:space="preserve">nglés (sin </w:t>
      </w:r>
      <w:r w:rsidRPr="00D47111">
        <w:rPr>
          <w:color w:val="000000" w:themeColor="text1"/>
          <w:sz w:val="22"/>
          <w:szCs w:val="22"/>
          <w:lang w:val="es-AR"/>
        </w:rPr>
        <w:t>traducción)</w:t>
      </w:r>
      <w:r w:rsidR="002D7576" w:rsidRPr="00D47111">
        <w:rPr>
          <w:color w:val="000000" w:themeColor="text1"/>
          <w:sz w:val="22"/>
          <w:szCs w:val="22"/>
          <w:lang w:val="es-AR"/>
        </w:rPr>
        <w:t xml:space="preserve"> en el Auditorio del ICPA.</w:t>
      </w:r>
    </w:p>
    <w:p w:rsidR="00AE1491" w:rsidRPr="00150D8D" w:rsidRDefault="00AE1491" w:rsidP="00423638">
      <w:pPr>
        <w:spacing w:after="120"/>
        <w:jc w:val="center"/>
        <w:rPr>
          <w:b/>
          <w:bCs/>
          <w:color w:val="000000"/>
          <w:lang w:val="es-AR"/>
        </w:rPr>
      </w:pPr>
      <w:r w:rsidRPr="00150D8D">
        <w:rPr>
          <w:b/>
          <w:bCs/>
          <w:color w:val="000000"/>
          <w:sz w:val="28"/>
          <w:szCs w:val="28"/>
          <w:lang w:val="es-AR"/>
        </w:rPr>
        <w:t>Aranceles e Inscripción</w:t>
      </w:r>
    </w:p>
    <w:p w:rsidR="00AE1491" w:rsidRPr="00150D8D" w:rsidRDefault="00AE1491" w:rsidP="00053291">
      <w:pPr>
        <w:spacing w:after="120"/>
        <w:jc w:val="both"/>
        <w:rPr>
          <w:b/>
          <w:bCs/>
          <w:color w:val="000000"/>
          <w:lang w:val="es-AR"/>
        </w:rPr>
      </w:pPr>
      <w:r w:rsidRPr="00150D8D">
        <w:rPr>
          <w:color w:val="000000"/>
          <w:sz w:val="22"/>
          <w:szCs w:val="22"/>
          <w:lang w:val="es-AR"/>
        </w:rPr>
        <w:t xml:space="preserve">El Arancel de Inscripción es de 500 USD o su equivalente en Pesos ARS al cambio oficial vigente. Hay descuentos para miembros de asociaciones y por pago anticipado, y becas para estudiantes. Más detalles en el formulario de inscripción adjunto. </w:t>
      </w:r>
      <w:r w:rsidRPr="00150D8D">
        <w:rPr>
          <w:b/>
          <w:bCs/>
          <w:color w:val="000000"/>
          <w:lang w:val="es-AR"/>
        </w:rPr>
        <w:t>Los interesados en inscribirse pueden hac</w:t>
      </w:r>
      <w:r w:rsidR="009E32E7">
        <w:rPr>
          <w:b/>
          <w:bCs/>
          <w:color w:val="000000"/>
          <w:lang w:val="es-AR"/>
        </w:rPr>
        <w:t>e</w:t>
      </w:r>
      <w:r w:rsidRPr="00150D8D">
        <w:rPr>
          <w:b/>
          <w:bCs/>
          <w:color w:val="000000"/>
          <w:lang w:val="es-AR"/>
        </w:rPr>
        <w:t xml:space="preserve">rlo enviando el formulario de inscripción </w:t>
      </w:r>
      <w:r>
        <w:rPr>
          <w:b/>
          <w:bCs/>
          <w:color w:val="000000"/>
          <w:lang w:val="es-AR"/>
        </w:rPr>
        <w:t xml:space="preserve">a la </w:t>
      </w:r>
      <w:r w:rsidR="009E32E7">
        <w:rPr>
          <w:b/>
          <w:bCs/>
          <w:color w:val="000000"/>
          <w:lang w:val="es-AR"/>
        </w:rPr>
        <w:t>AATH</w:t>
      </w:r>
      <w:r>
        <w:rPr>
          <w:b/>
          <w:bCs/>
          <w:color w:val="000000"/>
          <w:lang w:val="es-AR"/>
        </w:rPr>
        <w:t>. Por l</w:t>
      </w:r>
      <w:r w:rsidRPr="00150D8D">
        <w:rPr>
          <w:b/>
          <w:bCs/>
          <w:color w:val="000000"/>
          <w:lang w:val="es-AR"/>
        </w:rPr>
        <w:t xml:space="preserve">a naturaleza del Taller, los cupos son limitados y su asignación se </w:t>
      </w:r>
      <w:r>
        <w:rPr>
          <w:b/>
          <w:bCs/>
          <w:color w:val="000000"/>
          <w:lang w:val="es-AR"/>
        </w:rPr>
        <w:t>efectu</w:t>
      </w:r>
      <w:r w:rsidRPr="00150D8D">
        <w:rPr>
          <w:b/>
          <w:bCs/>
          <w:color w:val="000000"/>
          <w:lang w:val="es-AR"/>
        </w:rPr>
        <w:t xml:space="preserve">ará </w:t>
      </w:r>
      <w:r>
        <w:rPr>
          <w:b/>
          <w:bCs/>
          <w:color w:val="000000"/>
          <w:lang w:val="es-AR"/>
        </w:rPr>
        <w:t>según</w:t>
      </w:r>
      <w:r w:rsidRPr="00150D8D">
        <w:rPr>
          <w:b/>
          <w:bCs/>
          <w:color w:val="000000"/>
          <w:lang w:val="es-AR"/>
        </w:rPr>
        <w:t xml:space="preserve"> el siguiente orden de prioridad: 1°: fecha de ingreso del pago de inscripción, 2°: fecha de recepción de formularios de inscripción.</w:t>
      </w:r>
    </w:p>
    <w:p w:rsidR="00AE1491" w:rsidRDefault="00AE1491" w:rsidP="00066661">
      <w:pPr>
        <w:spacing w:after="120"/>
        <w:rPr>
          <w:b/>
          <w:bCs/>
          <w:color w:val="000000"/>
          <w:lang w:val="es-AR"/>
        </w:rPr>
      </w:pPr>
    </w:p>
    <w:p w:rsidR="00AE1491" w:rsidRPr="00053291" w:rsidRDefault="00AE1491" w:rsidP="00053291">
      <w:pPr>
        <w:spacing w:after="120"/>
        <w:jc w:val="center"/>
        <w:rPr>
          <w:b/>
          <w:bCs/>
          <w:color w:val="000000"/>
          <w:lang w:val="es-AR"/>
        </w:rPr>
      </w:pPr>
      <w:r w:rsidRPr="00053291">
        <w:rPr>
          <w:b/>
          <w:bCs/>
          <w:color w:val="000000"/>
          <w:lang w:val="es-AR"/>
        </w:rPr>
        <w:t xml:space="preserve">Consultas e Inscripciones: </w:t>
      </w:r>
      <w:r w:rsidR="009E32E7">
        <w:rPr>
          <w:b/>
          <w:bCs/>
          <w:color w:val="000000"/>
          <w:lang w:val="es-AR"/>
        </w:rPr>
        <w:t>Asociación Argentina de Tecnología del Hormigón (</w:t>
      </w:r>
      <w:r w:rsidRPr="00053291">
        <w:rPr>
          <w:b/>
          <w:bCs/>
          <w:color w:val="000000"/>
          <w:lang w:val="es-AR"/>
        </w:rPr>
        <w:t>AA</w:t>
      </w:r>
      <w:r w:rsidR="009E32E7">
        <w:rPr>
          <w:b/>
          <w:bCs/>
          <w:color w:val="000000"/>
          <w:lang w:val="es-AR"/>
        </w:rPr>
        <w:t>TH)</w:t>
      </w:r>
      <w:r w:rsidRPr="00053291">
        <w:rPr>
          <w:b/>
          <w:bCs/>
          <w:color w:val="000000"/>
          <w:lang w:val="es-AR"/>
        </w:rPr>
        <w:t xml:space="preserve">, </w:t>
      </w:r>
      <w:hyperlink r:id="rId10" w:history="1">
        <w:r w:rsidR="009E32E7" w:rsidRPr="00DA1A9B">
          <w:rPr>
            <w:rStyle w:val="Hyperlink"/>
            <w:b/>
            <w:bCs/>
            <w:lang w:val="es-AR"/>
          </w:rPr>
          <w:t>aath@aath.org.ar</w:t>
        </w:r>
      </w:hyperlink>
      <w:r w:rsidRPr="00053291">
        <w:rPr>
          <w:color w:val="000000"/>
          <w:lang w:val="es-ES"/>
        </w:rPr>
        <w:t xml:space="preserve">, </w:t>
      </w:r>
      <w:r w:rsidRPr="00053291">
        <w:rPr>
          <w:b/>
          <w:bCs/>
          <w:color w:val="000000"/>
          <w:lang w:val="es-AR"/>
        </w:rPr>
        <w:t xml:space="preserve">(+5411) </w:t>
      </w:r>
      <w:r w:rsidR="00D10252" w:rsidRPr="00D10252">
        <w:rPr>
          <w:b/>
          <w:bCs/>
          <w:color w:val="000000"/>
          <w:lang w:val="es-AR"/>
        </w:rPr>
        <w:t>4952-6975</w:t>
      </w:r>
    </w:p>
    <w:p w:rsidR="00AE1491" w:rsidRPr="00B44FAE" w:rsidRDefault="00AE1491" w:rsidP="0050653F">
      <w:pPr>
        <w:spacing w:after="120"/>
        <w:jc w:val="center"/>
        <w:rPr>
          <w:lang w:val="es-AR"/>
        </w:rPr>
      </w:pPr>
      <w:r w:rsidRPr="00150D8D">
        <w:rPr>
          <w:b/>
          <w:bCs/>
          <w:color w:val="000000"/>
          <w:lang w:val="es-AR"/>
        </w:rPr>
        <w:br w:type="page"/>
      </w:r>
      <w:r w:rsidRPr="00B44FAE">
        <w:rPr>
          <w:b/>
          <w:bCs/>
          <w:lang w:val="es-AR"/>
        </w:rPr>
        <w:lastRenderedPageBreak/>
        <w:t>PROGRAMA y PROFESORES</w:t>
      </w:r>
      <w:r>
        <w:rPr>
          <w:b/>
          <w:bCs/>
          <w:lang w:val="es-AR"/>
        </w:rPr>
        <w:t xml:space="preserve"> INVITADOS</w:t>
      </w:r>
    </w:p>
    <w:p w:rsidR="00AE1491" w:rsidRDefault="003342FF" w:rsidP="0050653F">
      <w:pPr>
        <w:spacing w:after="120"/>
        <w:ind w:right="-164"/>
        <w:jc w:val="center"/>
        <w:rPr>
          <w:lang w:val="es-AR"/>
        </w:rPr>
      </w:pPr>
      <w:r w:rsidRPr="003342FF">
        <w:rPr>
          <w:noProof/>
          <w:lang w:val="it-CH" w:eastAsia="it-CH"/>
        </w:rPr>
        <w:drawing>
          <wp:inline distT="0" distB="0" distL="0" distR="0">
            <wp:extent cx="5732145" cy="6250110"/>
            <wp:effectExtent l="19050" t="0" r="190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732145" cy="6250110"/>
                    </a:xfrm>
                    <a:prstGeom prst="rect">
                      <a:avLst/>
                    </a:prstGeom>
                    <a:noFill/>
                    <a:ln w="9525">
                      <a:noFill/>
                      <a:miter lim="800000"/>
                      <a:headEnd/>
                      <a:tailEnd/>
                    </a:ln>
                  </pic:spPr>
                </pic:pic>
              </a:graphicData>
            </a:graphic>
          </wp:inline>
        </w:drawing>
      </w:r>
    </w:p>
    <w:tbl>
      <w:tblPr>
        <w:tblStyle w:val="TableGrid"/>
        <w:tblW w:w="9923" w:type="dxa"/>
        <w:tblInd w:w="108" w:type="dxa"/>
        <w:tblLook w:val="04A0"/>
      </w:tblPr>
      <w:tblGrid>
        <w:gridCol w:w="9923"/>
      </w:tblGrid>
      <w:tr w:rsidR="003159B1" w:rsidTr="003159B1">
        <w:tc>
          <w:tcPr>
            <w:tcW w:w="9923" w:type="dxa"/>
          </w:tcPr>
          <w:p w:rsidR="003159B1" w:rsidRPr="002D7576" w:rsidRDefault="003159B1" w:rsidP="00B958C5">
            <w:pPr>
              <w:jc w:val="both"/>
              <w:rPr>
                <w:b/>
                <w:sz w:val="22"/>
                <w:szCs w:val="22"/>
              </w:rPr>
            </w:pPr>
            <w:proofErr w:type="spellStart"/>
            <w:r w:rsidRPr="002D7576">
              <w:rPr>
                <w:b/>
                <w:sz w:val="22"/>
                <w:szCs w:val="22"/>
              </w:rPr>
              <w:t>Profesores</w:t>
            </w:r>
            <w:proofErr w:type="spellEnd"/>
            <w:r w:rsidRPr="002D7576">
              <w:rPr>
                <w:b/>
                <w:sz w:val="22"/>
                <w:szCs w:val="22"/>
              </w:rPr>
              <w:t xml:space="preserve"> </w:t>
            </w:r>
            <w:proofErr w:type="spellStart"/>
            <w:r w:rsidRPr="002D7576">
              <w:rPr>
                <w:b/>
                <w:sz w:val="22"/>
                <w:szCs w:val="22"/>
              </w:rPr>
              <w:t>Invitados</w:t>
            </w:r>
            <w:proofErr w:type="spellEnd"/>
          </w:p>
        </w:tc>
      </w:tr>
      <w:tr w:rsidR="003159B1" w:rsidRPr="0064084C" w:rsidTr="003159B1">
        <w:tc>
          <w:tcPr>
            <w:tcW w:w="9923" w:type="dxa"/>
          </w:tcPr>
          <w:p w:rsidR="003159B1" w:rsidRPr="002D7576" w:rsidRDefault="000367D0" w:rsidP="003159B1">
            <w:pPr>
              <w:jc w:val="both"/>
              <w:rPr>
                <w:sz w:val="20"/>
                <w:szCs w:val="20"/>
              </w:rPr>
            </w:pPr>
            <w:r w:rsidRPr="002D7576">
              <w:rPr>
                <w:b/>
                <w:sz w:val="20"/>
                <w:szCs w:val="20"/>
                <w:lang w:val="es-AR"/>
              </w:rPr>
              <w:t xml:space="preserve">Alberto </w:t>
            </w:r>
            <w:proofErr w:type="spellStart"/>
            <w:r w:rsidRPr="002D7576">
              <w:rPr>
                <w:b/>
                <w:sz w:val="20"/>
                <w:szCs w:val="20"/>
                <w:lang w:val="es-AR"/>
              </w:rPr>
              <w:t>Sagüés</w:t>
            </w:r>
            <w:proofErr w:type="spellEnd"/>
            <w:r w:rsidRPr="002D7576">
              <w:rPr>
                <w:b/>
                <w:sz w:val="20"/>
                <w:szCs w:val="20"/>
                <w:lang w:val="es-AR"/>
              </w:rPr>
              <w:t xml:space="preserve"> </w:t>
            </w:r>
            <w:r w:rsidRPr="002D7576">
              <w:rPr>
                <w:sz w:val="20"/>
                <w:szCs w:val="20"/>
                <w:lang w:val="es-AR"/>
              </w:rPr>
              <w:t>(USA), Prof. Univ. South Florida</w:t>
            </w:r>
          </w:p>
        </w:tc>
      </w:tr>
      <w:tr w:rsidR="003159B1" w:rsidRPr="00C8422D" w:rsidTr="003159B1">
        <w:tc>
          <w:tcPr>
            <w:tcW w:w="9923" w:type="dxa"/>
          </w:tcPr>
          <w:p w:rsidR="003159B1" w:rsidRPr="000367D0" w:rsidRDefault="000367D0" w:rsidP="002D7576">
            <w:pPr>
              <w:rPr>
                <w:b/>
                <w:sz w:val="20"/>
                <w:szCs w:val="20"/>
                <w:lang w:val="es-AR"/>
              </w:rPr>
            </w:pPr>
            <w:r w:rsidRPr="000367D0">
              <w:rPr>
                <w:b/>
                <w:sz w:val="20"/>
                <w:szCs w:val="20"/>
                <w:lang w:val="es-AR"/>
              </w:rPr>
              <w:t>Alejandra Benítez</w:t>
            </w:r>
            <w:r w:rsidRPr="000367D0">
              <w:rPr>
                <w:sz w:val="20"/>
                <w:szCs w:val="20"/>
                <w:lang w:val="es-AR"/>
              </w:rPr>
              <w:t xml:space="preserve"> (Argentina), Ing. Civil, MICT, Jef</w:t>
            </w:r>
            <w:r w:rsidR="002D7576">
              <w:rPr>
                <w:sz w:val="20"/>
                <w:szCs w:val="20"/>
                <w:lang w:val="es-AR"/>
              </w:rPr>
              <w:t>e</w:t>
            </w:r>
            <w:r w:rsidRPr="000367D0">
              <w:rPr>
                <w:sz w:val="20"/>
                <w:szCs w:val="20"/>
                <w:lang w:val="es-AR"/>
              </w:rPr>
              <w:t xml:space="preserve"> UT Tecnología del Hormigón</w:t>
            </w:r>
            <w:r w:rsidR="002D7576">
              <w:rPr>
                <w:sz w:val="20"/>
                <w:szCs w:val="20"/>
                <w:lang w:val="es-AR"/>
              </w:rPr>
              <w:t xml:space="preserve"> </w:t>
            </w:r>
            <w:r>
              <w:rPr>
                <w:sz w:val="20"/>
                <w:szCs w:val="20"/>
                <w:lang w:val="es-AR"/>
              </w:rPr>
              <w:t>(CECON/INTI)</w:t>
            </w:r>
            <w:r w:rsidRPr="000367D0">
              <w:rPr>
                <w:sz w:val="20"/>
                <w:szCs w:val="20"/>
                <w:lang w:val="es-AR"/>
              </w:rPr>
              <w:t>, Prof</w:t>
            </w:r>
            <w:r>
              <w:rPr>
                <w:sz w:val="20"/>
                <w:szCs w:val="20"/>
                <w:lang w:val="es-AR"/>
              </w:rPr>
              <w:t>.</w:t>
            </w:r>
            <w:r w:rsidRPr="000367D0">
              <w:rPr>
                <w:sz w:val="20"/>
                <w:szCs w:val="20"/>
                <w:lang w:val="es-AR"/>
              </w:rPr>
              <w:t xml:space="preserve"> Adjunta Univ</w:t>
            </w:r>
            <w:r>
              <w:rPr>
                <w:sz w:val="20"/>
                <w:szCs w:val="20"/>
                <w:lang w:val="es-AR"/>
              </w:rPr>
              <w:t xml:space="preserve">. </w:t>
            </w:r>
            <w:r w:rsidRPr="000367D0">
              <w:rPr>
                <w:sz w:val="20"/>
                <w:szCs w:val="20"/>
                <w:lang w:val="es-AR"/>
              </w:rPr>
              <w:t>de Buenos Aires</w:t>
            </w:r>
          </w:p>
        </w:tc>
      </w:tr>
      <w:tr w:rsidR="000367D0" w:rsidRPr="00C8422D" w:rsidTr="003159B1">
        <w:tc>
          <w:tcPr>
            <w:tcW w:w="9923" w:type="dxa"/>
          </w:tcPr>
          <w:p w:rsidR="000367D0" w:rsidRPr="000367D0" w:rsidRDefault="000367D0" w:rsidP="003159B1">
            <w:pPr>
              <w:jc w:val="both"/>
              <w:rPr>
                <w:b/>
                <w:sz w:val="20"/>
                <w:szCs w:val="20"/>
                <w:lang w:val="es-AR"/>
              </w:rPr>
            </w:pPr>
            <w:proofErr w:type="spellStart"/>
            <w:r w:rsidRPr="000367D0">
              <w:rPr>
                <w:b/>
                <w:sz w:val="20"/>
                <w:szCs w:val="20"/>
                <w:lang w:val="es-AR"/>
              </w:rPr>
              <w:t>Enio</w:t>
            </w:r>
            <w:proofErr w:type="spellEnd"/>
            <w:r w:rsidRPr="000367D0">
              <w:rPr>
                <w:b/>
                <w:sz w:val="20"/>
                <w:szCs w:val="20"/>
                <w:lang w:val="es-AR"/>
              </w:rPr>
              <w:t xml:space="preserve"> </w:t>
            </w:r>
            <w:proofErr w:type="spellStart"/>
            <w:r w:rsidRPr="000367D0">
              <w:rPr>
                <w:b/>
                <w:sz w:val="20"/>
                <w:szCs w:val="20"/>
                <w:lang w:val="es-AR"/>
              </w:rPr>
              <w:t>Pazini</w:t>
            </w:r>
            <w:proofErr w:type="spellEnd"/>
            <w:r w:rsidRPr="000367D0">
              <w:rPr>
                <w:b/>
                <w:sz w:val="20"/>
                <w:szCs w:val="20"/>
                <w:lang w:val="es-AR"/>
              </w:rPr>
              <w:t xml:space="preserve"> </w:t>
            </w:r>
            <w:proofErr w:type="spellStart"/>
            <w:r w:rsidRPr="000367D0">
              <w:rPr>
                <w:b/>
                <w:sz w:val="20"/>
                <w:szCs w:val="20"/>
                <w:lang w:val="es-AR"/>
              </w:rPr>
              <w:t>Figueiredo</w:t>
            </w:r>
            <w:proofErr w:type="spellEnd"/>
            <w:r w:rsidRPr="000367D0">
              <w:rPr>
                <w:b/>
                <w:sz w:val="20"/>
                <w:szCs w:val="20"/>
                <w:lang w:val="es-AR"/>
              </w:rPr>
              <w:t xml:space="preserve"> </w:t>
            </w:r>
            <w:r w:rsidRPr="000367D0">
              <w:rPr>
                <w:sz w:val="20"/>
                <w:szCs w:val="20"/>
                <w:lang w:val="es-AR"/>
              </w:rPr>
              <w:t>(Brasil),</w:t>
            </w:r>
            <w:r w:rsidRPr="000367D0">
              <w:rPr>
                <w:b/>
                <w:sz w:val="20"/>
                <w:szCs w:val="20"/>
                <w:lang w:val="es-AR"/>
              </w:rPr>
              <w:t xml:space="preserve"> </w:t>
            </w:r>
            <w:r w:rsidRPr="000367D0">
              <w:rPr>
                <w:sz w:val="20"/>
                <w:szCs w:val="20"/>
                <w:lang w:val="es-AR"/>
              </w:rPr>
              <w:t>Prof.</w:t>
            </w:r>
            <w:r>
              <w:rPr>
                <w:b/>
                <w:sz w:val="20"/>
                <w:szCs w:val="20"/>
                <w:lang w:val="es-AR"/>
              </w:rPr>
              <w:t xml:space="preserve"> </w:t>
            </w:r>
            <w:proofErr w:type="spellStart"/>
            <w:r w:rsidRPr="000367D0">
              <w:rPr>
                <w:sz w:val="20"/>
                <w:szCs w:val="20"/>
                <w:lang w:val="es-AR"/>
              </w:rPr>
              <w:t>Universidade</w:t>
            </w:r>
            <w:proofErr w:type="spellEnd"/>
            <w:r w:rsidRPr="000367D0">
              <w:rPr>
                <w:sz w:val="20"/>
                <w:szCs w:val="20"/>
                <w:lang w:val="es-AR"/>
              </w:rPr>
              <w:t xml:space="preserve"> Federal de Goiás</w:t>
            </w:r>
          </w:p>
        </w:tc>
      </w:tr>
      <w:tr w:rsidR="003159B1" w:rsidRPr="00C8422D" w:rsidTr="003159B1">
        <w:tc>
          <w:tcPr>
            <w:tcW w:w="9923" w:type="dxa"/>
          </w:tcPr>
          <w:p w:rsidR="003159B1" w:rsidRPr="000367D0" w:rsidRDefault="003159B1" w:rsidP="003159B1">
            <w:pPr>
              <w:jc w:val="both"/>
              <w:rPr>
                <w:sz w:val="20"/>
                <w:szCs w:val="20"/>
                <w:lang w:val="es-AR"/>
              </w:rPr>
            </w:pPr>
            <w:r w:rsidRPr="000367D0">
              <w:rPr>
                <w:b/>
                <w:sz w:val="20"/>
                <w:szCs w:val="20"/>
                <w:lang w:val="es-AR"/>
              </w:rPr>
              <w:t>Guillermo Di Pace</w:t>
            </w:r>
            <w:r w:rsidRPr="000367D0">
              <w:rPr>
                <w:sz w:val="20"/>
                <w:szCs w:val="20"/>
                <w:lang w:val="es-AR"/>
              </w:rPr>
              <w:t xml:space="preserve"> (Argentina). Ing. Civil, Miembro de la Academia Nacional de Ingeniería, Consultor Privado </w:t>
            </w:r>
          </w:p>
        </w:tc>
      </w:tr>
      <w:tr w:rsidR="002D7576" w:rsidRPr="00C8422D" w:rsidTr="003159B1">
        <w:tc>
          <w:tcPr>
            <w:tcW w:w="9923" w:type="dxa"/>
          </w:tcPr>
          <w:p w:rsidR="002D7576" w:rsidRPr="002D7576" w:rsidRDefault="002D7576" w:rsidP="003159B1">
            <w:pPr>
              <w:jc w:val="both"/>
              <w:rPr>
                <w:b/>
                <w:sz w:val="20"/>
                <w:szCs w:val="20"/>
                <w:lang w:val="es-AR"/>
              </w:rPr>
            </w:pPr>
            <w:r w:rsidRPr="003159B1">
              <w:rPr>
                <w:b/>
                <w:sz w:val="20"/>
                <w:szCs w:val="20"/>
              </w:rPr>
              <w:t xml:space="preserve">Luis </w:t>
            </w:r>
            <w:proofErr w:type="spellStart"/>
            <w:r w:rsidRPr="003159B1">
              <w:rPr>
                <w:b/>
                <w:sz w:val="20"/>
                <w:szCs w:val="20"/>
              </w:rPr>
              <w:t>Ebensperger</w:t>
            </w:r>
            <w:proofErr w:type="spellEnd"/>
            <w:r w:rsidRPr="003159B1">
              <w:rPr>
                <w:sz w:val="20"/>
                <w:szCs w:val="20"/>
              </w:rPr>
              <w:t xml:space="preserve"> (Chile) –</w:t>
            </w:r>
            <w:proofErr w:type="spellStart"/>
            <w:r w:rsidRPr="003159B1">
              <w:rPr>
                <w:sz w:val="20"/>
                <w:szCs w:val="20"/>
              </w:rPr>
              <w:t>Ing</w:t>
            </w:r>
            <w:proofErr w:type="spellEnd"/>
            <w:r w:rsidRPr="003159B1">
              <w:rPr>
                <w:sz w:val="20"/>
                <w:szCs w:val="20"/>
              </w:rPr>
              <w:t xml:space="preserve">. Civil, PhD, </w:t>
            </w:r>
            <w:proofErr w:type="spellStart"/>
            <w:r w:rsidRPr="003159B1">
              <w:rPr>
                <w:sz w:val="20"/>
                <w:szCs w:val="20"/>
              </w:rPr>
              <w:t>Ing</w:t>
            </w:r>
            <w:proofErr w:type="spellEnd"/>
            <w:r w:rsidRPr="003159B1">
              <w:rPr>
                <w:sz w:val="20"/>
                <w:szCs w:val="20"/>
              </w:rPr>
              <w:t xml:space="preserve">. </w:t>
            </w:r>
            <w:proofErr w:type="spellStart"/>
            <w:r w:rsidRPr="002D7576">
              <w:rPr>
                <w:sz w:val="20"/>
                <w:szCs w:val="20"/>
                <w:lang w:val="es-AR"/>
              </w:rPr>
              <w:t>Senior</w:t>
            </w:r>
            <w:proofErr w:type="spellEnd"/>
            <w:r w:rsidRPr="002D7576">
              <w:rPr>
                <w:sz w:val="20"/>
                <w:szCs w:val="20"/>
                <w:lang w:val="es-AR"/>
              </w:rPr>
              <w:t xml:space="preserve"> de PWD-AV (Proyectistas de Instalaciones Portuarias)</w:t>
            </w:r>
          </w:p>
        </w:tc>
      </w:tr>
      <w:tr w:rsidR="003159B1" w:rsidRPr="00C8422D" w:rsidTr="003159B1">
        <w:tc>
          <w:tcPr>
            <w:tcW w:w="9923" w:type="dxa"/>
          </w:tcPr>
          <w:p w:rsidR="003159B1" w:rsidRPr="00127812" w:rsidRDefault="003159B1" w:rsidP="003159B1">
            <w:pPr>
              <w:jc w:val="both"/>
              <w:rPr>
                <w:sz w:val="20"/>
                <w:szCs w:val="20"/>
                <w:lang w:val="es-AR"/>
              </w:rPr>
            </w:pPr>
            <w:r w:rsidRPr="000367D0">
              <w:rPr>
                <w:b/>
                <w:sz w:val="20"/>
                <w:szCs w:val="20"/>
                <w:lang w:val="es-AR"/>
              </w:rPr>
              <w:t xml:space="preserve">Luis </w:t>
            </w:r>
            <w:proofErr w:type="spellStart"/>
            <w:r w:rsidRPr="000367D0">
              <w:rPr>
                <w:b/>
                <w:sz w:val="20"/>
                <w:szCs w:val="20"/>
                <w:lang w:val="es-AR"/>
              </w:rPr>
              <w:t>Fernand</w:t>
            </w:r>
            <w:r w:rsidRPr="002D7576">
              <w:rPr>
                <w:b/>
                <w:sz w:val="20"/>
                <w:szCs w:val="20"/>
                <w:lang w:val="es-AR"/>
              </w:rPr>
              <w:t>ez</w:t>
            </w:r>
            <w:proofErr w:type="spellEnd"/>
            <w:r w:rsidRPr="002D7576">
              <w:rPr>
                <w:b/>
                <w:sz w:val="20"/>
                <w:szCs w:val="20"/>
                <w:lang w:val="es-AR"/>
              </w:rPr>
              <w:t xml:space="preserve"> Luco</w:t>
            </w:r>
            <w:r w:rsidRPr="002D7576">
              <w:rPr>
                <w:sz w:val="20"/>
                <w:szCs w:val="20"/>
                <w:lang w:val="es-AR"/>
              </w:rPr>
              <w:t xml:space="preserve"> (Argentina) –Ing. Civil, </w:t>
            </w:r>
            <w:proofErr w:type="spellStart"/>
            <w:r w:rsidRPr="00127812">
              <w:rPr>
                <w:sz w:val="20"/>
                <w:szCs w:val="20"/>
                <w:lang w:val="es-AR"/>
              </w:rPr>
              <w:t>PhD</w:t>
            </w:r>
            <w:proofErr w:type="spellEnd"/>
            <w:r w:rsidRPr="00127812">
              <w:rPr>
                <w:sz w:val="20"/>
                <w:szCs w:val="20"/>
                <w:lang w:val="es-AR"/>
              </w:rPr>
              <w:t>, Profesor Univ. de Buenos Aires</w:t>
            </w:r>
          </w:p>
        </w:tc>
      </w:tr>
      <w:tr w:rsidR="003159B1" w:rsidRPr="00C8422D" w:rsidTr="003159B1">
        <w:tc>
          <w:tcPr>
            <w:tcW w:w="9923" w:type="dxa"/>
          </w:tcPr>
          <w:p w:rsidR="003159B1" w:rsidRPr="00127812" w:rsidRDefault="003159B1" w:rsidP="003159B1">
            <w:pPr>
              <w:jc w:val="both"/>
              <w:rPr>
                <w:sz w:val="20"/>
                <w:szCs w:val="20"/>
                <w:lang w:val="es-AR"/>
              </w:rPr>
            </w:pPr>
            <w:r w:rsidRPr="00127812">
              <w:rPr>
                <w:b/>
                <w:sz w:val="20"/>
                <w:szCs w:val="20"/>
                <w:lang w:val="es-AR"/>
              </w:rPr>
              <w:t>Luz Granizo</w:t>
            </w:r>
            <w:r w:rsidRPr="00127812">
              <w:rPr>
                <w:sz w:val="20"/>
                <w:szCs w:val="20"/>
                <w:lang w:val="es-AR"/>
              </w:rPr>
              <w:t xml:space="preserve"> (España)  Química, </w:t>
            </w:r>
            <w:proofErr w:type="spellStart"/>
            <w:r w:rsidRPr="00127812">
              <w:rPr>
                <w:sz w:val="20"/>
                <w:szCs w:val="20"/>
                <w:lang w:val="es-AR"/>
              </w:rPr>
              <w:t>PhD</w:t>
            </w:r>
            <w:proofErr w:type="spellEnd"/>
            <w:r w:rsidRPr="00127812">
              <w:rPr>
                <w:sz w:val="20"/>
                <w:szCs w:val="20"/>
                <w:lang w:val="es-AR"/>
              </w:rPr>
              <w:t xml:space="preserve">, </w:t>
            </w:r>
            <w:proofErr w:type="spellStart"/>
            <w:r w:rsidRPr="00127812">
              <w:rPr>
                <w:sz w:val="20"/>
                <w:szCs w:val="20"/>
                <w:lang w:val="es-AR"/>
              </w:rPr>
              <w:t>Lider</w:t>
            </w:r>
            <w:proofErr w:type="spellEnd"/>
            <w:r w:rsidRPr="00127812">
              <w:rPr>
                <w:sz w:val="20"/>
                <w:szCs w:val="20"/>
                <w:lang w:val="es-AR"/>
              </w:rPr>
              <w:t xml:space="preserve"> de Morteros – SIKA </w:t>
            </w:r>
          </w:p>
        </w:tc>
      </w:tr>
      <w:tr w:rsidR="003159B1" w:rsidRPr="00C8422D" w:rsidTr="003159B1">
        <w:tc>
          <w:tcPr>
            <w:tcW w:w="9923" w:type="dxa"/>
          </w:tcPr>
          <w:p w:rsidR="003159B1" w:rsidRPr="00127812" w:rsidRDefault="003159B1" w:rsidP="003159B1">
            <w:pPr>
              <w:jc w:val="both"/>
              <w:rPr>
                <w:sz w:val="20"/>
                <w:szCs w:val="20"/>
                <w:lang w:val="es-AR"/>
              </w:rPr>
            </w:pPr>
            <w:r w:rsidRPr="00127812">
              <w:rPr>
                <w:b/>
                <w:sz w:val="20"/>
                <w:szCs w:val="20"/>
                <w:lang w:val="es-AR"/>
              </w:rPr>
              <w:t xml:space="preserve">Fabián </w:t>
            </w:r>
            <w:proofErr w:type="spellStart"/>
            <w:r w:rsidRPr="00127812">
              <w:rPr>
                <w:b/>
                <w:sz w:val="20"/>
                <w:szCs w:val="20"/>
                <w:lang w:val="es-AR"/>
              </w:rPr>
              <w:t>Irassar</w:t>
            </w:r>
            <w:proofErr w:type="spellEnd"/>
            <w:r w:rsidRPr="00127812">
              <w:rPr>
                <w:sz w:val="20"/>
                <w:szCs w:val="20"/>
                <w:lang w:val="es-AR"/>
              </w:rPr>
              <w:t xml:space="preserve"> (Argentina) – Ing. Civil, Profesor Univ. Del Centro de la Prov. de Buenos Aires</w:t>
            </w:r>
          </w:p>
        </w:tc>
      </w:tr>
      <w:tr w:rsidR="003159B1" w:rsidRPr="002D7576" w:rsidTr="003159B1">
        <w:tc>
          <w:tcPr>
            <w:tcW w:w="9923" w:type="dxa"/>
          </w:tcPr>
          <w:p w:rsidR="003159B1" w:rsidRPr="002D7576" w:rsidRDefault="003159B1" w:rsidP="002D7576">
            <w:pPr>
              <w:jc w:val="both"/>
              <w:rPr>
                <w:sz w:val="20"/>
                <w:szCs w:val="20"/>
                <w:lang w:val="es-AR"/>
              </w:rPr>
            </w:pPr>
            <w:r w:rsidRPr="002D7576">
              <w:rPr>
                <w:b/>
                <w:sz w:val="20"/>
                <w:szCs w:val="20"/>
                <w:lang w:val="es-AR"/>
              </w:rPr>
              <w:t xml:space="preserve">José Fernando </w:t>
            </w:r>
            <w:proofErr w:type="spellStart"/>
            <w:r w:rsidRPr="002D7576">
              <w:rPr>
                <w:b/>
                <w:sz w:val="20"/>
                <w:szCs w:val="20"/>
                <w:lang w:val="es-AR"/>
              </w:rPr>
              <w:t>Martirena</w:t>
            </w:r>
            <w:proofErr w:type="spellEnd"/>
            <w:r w:rsidRPr="002D7576">
              <w:rPr>
                <w:sz w:val="20"/>
                <w:szCs w:val="20"/>
                <w:lang w:val="es-AR"/>
              </w:rPr>
              <w:t xml:space="preserve"> (Cuba) – Ing. Civil, </w:t>
            </w:r>
            <w:proofErr w:type="spellStart"/>
            <w:r w:rsidRPr="002D7576">
              <w:rPr>
                <w:sz w:val="20"/>
                <w:szCs w:val="20"/>
                <w:lang w:val="es-AR"/>
              </w:rPr>
              <w:t>PhD</w:t>
            </w:r>
            <w:proofErr w:type="spellEnd"/>
            <w:r w:rsidRPr="002D7576">
              <w:rPr>
                <w:sz w:val="20"/>
                <w:szCs w:val="20"/>
                <w:lang w:val="es-AR"/>
              </w:rPr>
              <w:t>, Jefe Grupo de Mater</w:t>
            </w:r>
            <w:r w:rsidR="002D7576">
              <w:rPr>
                <w:sz w:val="20"/>
                <w:szCs w:val="20"/>
                <w:lang w:val="es-AR"/>
              </w:rPr>
              <w:t>.</w:t>
            </w:r>
            <w:r w:rsidRPr="002D7576">
              <w:rPr>
                <w:sz w:val="20"/>
                <w:szCs w:val="20"/>
                <w:lang w:val="es-AR"/>
              </w:rPr>
              <w:t xml:space="preserve"> Constr</w:t>
            </w:r>
            <w:r w:rsidR="002D7576">
              <w:rPr>
                <w:sz w:val="20"/>
                <w:szCs w:val="20"/>
                <w:lang w:val="es-AR"/>
              </w:rPr>
              <w:t>.</w:t>
            </w:r>
            <w:r w:rsidRPr="002D7576">
              <w:rPr>
                <w:sz w:val="20"/>
                <w:szCs w:val="20"/>
                <w:lang w:val="es-AR"/>
              </w:rPr>
              <w:t xml:space="preserve"> (CIDEM), Univ</w:t>
            </w:r>
            <w:r w:rsidR="002D7576">
              <w:rPr>
                <w:sz w:val="20"/>
                <w:szCs w:val="20"/>
                <w:lang w:val="es-AR"/>
              </w:rPr>
              <w:t xml:space="preserve">. </w:t>
            </w:r>
            <w:r w:rsidRPr="002D7576">
              <w:rPr>
                <w:sz w:val="20"/>
                <w:szCs w:val="20"/>
                <w:lang w:val="es-AR"/>
              </w:rPr>
              <w:t xml:space="preserve">Central de las Villas </w:t>
            </w:r>
          </w:p>
        </w:tc>
      </w:tr>
      <w:tr w:rsidR="003159B1" w:rsidRPr="00C8422D" w:rsidTr="003159B1">
        <w:tc>
          <w:tcPr>
            <w:tcW w:w="9923" w:type="dxa"/>
          </w:tcPr>
          <w:p w:rsidR="003159B1" w:rsidRPr="002D7576" w:rsidRDefault="003159B1" w:rsidP="002D7576">
            <w:pPr>
              <w:jc w:val="both"/>
              <w:rPr>
                <w:sz w:val="20"/>
                <w:szCs w:val="20"/>
                <w:lang w:val="es-AR"/>
              </w:rPr>
            </w:pPr>
            <w:r w:rsidRPr="002D7576">
              <w:rPr>
                <w:b/>
                <w:sz w:val="20"/>
                <w:szCs w:val="20"/>
                <w:lang w:val="es-AR"/>
              </w:rPr>
              <w:t xml:space="preserve">Karen </w:t>
            </w:r>
            <w:proofErr w:type="spellStart"/>
            <w:r w:rsidRPr="002D7576">
              <w:rPr>
                <w:b/>
                <w:sz w:val="20"/>
                <w:szCs w:val="20"/>
                <w:lang w:val="es-AR"/>
              </w:rPr>
              <w:t>Scrivener</w:t>
            </w:r>
            <w:proofErr w:type="spellEnd"/>
            <w:r w:rsidRPr="002D7576">
              <w:rPr>
                <w:sz w:val="20"/>
                <w:szCs w:val="20"/>
                <w:lang w:val="es-AR"/>
              </w:rPr>
              <w:t xml:space="preserve"> (UK, Suiza) – Química, </w:t>
            </w:r>
            <w:proofErr w:type="spellStart"/>
            <w:r w:rsidRPr="002D7576">
              <w:rPr>
                <w:sz w:val="20"/>
                <w:szCs w:val="20"/>
                <w:lang w:val="es-AR"/>
              </w:rPr>
              <w:t>Ph.D</w:t>
            </w:r>
            <w:proofErr w:type="spellEnd"/>
            <w:r w:rsidRPr="002D7576">
              <w:rPr>
                <w:sz w:val="20"/>
                <w:szCs w:val="20"/>
                <w:lang w:val="es-AR"/>
              </w:rPr>
              <w:t xml:space="preserve">, </w:t>
            </w:r>
            <w:r w:rsidR="002D7576">
              <w:rPr>
                <w:sz w:val="20"/>
                <w:szCs w:val="20"/>
                <w:lang w:val="es-AR"/>
              </w:rPr>
              <w:t xml:space="preserve">Prof. </w:t>
            </w:r>
            <w:proofErr w:type="spellStart"/>
            <w:r w:rsidRPr="002D7576">
              <w:rPr>
                <w:sz w:val="20"/>
                <w:szCs w:val="20"/>
                <w:lang w:val="es-AR"/>
              </w:rPr>
              <w:t>École</w:t>
            </w:r>
            <w:proofErr w:type="spellEnd"/>
            <w:r w:rsidRPr="002D7576">
              <w:rPr>
                <w:sz w:val="20"/>
                <w:szCs w:val="20"/>
                <w:lang w:val="es-AR"/>
              </w:rPr>
              <w:t xml:space="preserve"> </w:t>
            </w:r>
            <w:proofErr w:type="spellStart"/>
            <w:r w:rsidRPr="002D7576">
              <w:rPr>
                <w:sz w:val="20"/>
                <w:szCs w:val="20"/>
                <w:lang w:val="es-AR"/>
              </w:rPr>
              <w:t>Polytechnique</w:t>
            </w:r>
            <w:proofErr w:type="spellEnd"/>
            <w:r w:rsidRPr="002D7576">
              <w:rPr>
                <w:sz w:val="20"/>
                <w:szCs w:val="20"/>
                <w:lang w:val="es-AR"/>
              </w:rPr>
              <w:t xml:space="preserve"> de </w:t>
            </w:r>
            <w:proofErr w:type="spellStart"/>
            <w:r w:rsidRPr="002D7576">
              <w:rPr>
                <w:sz w:val="20"/>
                <w:szCs w:val="20"/>
                <w:lang w:val="es-AR"/>
              </w:rPr>
              <w:t>Lausanne</w:t>
            </w:r>
            <w:proofErr w:type="spellEnd"/>
            <w:r w:rsidR="002D7576">
              <w:rPr>
                <w:sz w:val="20"/>
                <w:szCs w:val="20"/>
                <w:lang w:val="es-AR"/>
              </w:rPr>
              <w:t xml:space="preserve">, Directora de </w:t>
            </w:r>
            <w:proofErr w:type="spellStart"/>
            <w:r w:rsidR="002D7576">
              <w:rPr>
                <w:sz w:val="20"/>
                <w:szCs w:val="20"/>
                <w:lang w:val="es-AR"/>
              </w:rPr>
              <w:t>Nanocem</w:t>
            </w:r>
            <w:proofErr w:type="spellEnd"/>
          </w:p>
        </w:tc>
      </w:tr>
      <w:tr w:rsidR="003159B1" w:rsidRPr="003159B1" w:rsidTr="003159B1">
        <w:tc>
          <w:tcPr>
            <w:tcW w:w="9923" w:type="dxa"/>
          </w:tcPr>
          <w:p w:rsidR="003159B1" w:rsidRPr="002D7576" w:rsidRDefault="003159B1" w:rsidP="002D7576">
            <w:pPr>
              <w:jc w:val="both"/>
              <w:rPr>
                <w:sz w:val="20"/>
                <w:szCs w:val="20"/>
                <w:lang w:val="es-AR"/>
              </w:rPr>
            </w:pPr>
            <w:r w:rsidRPr="00127812">
              <w:rPr>
                <w:b/>
                <w:sz w:val="20"/>
                <w:szCs w:val="20"/>
                <w:lang w:val="it-CH"/>
              </w:rPr>
              <w:t>Roberto Torrent</w:t>
            </w:r>
            <w:r w:rsidRPr="00127812">
              <w:rPr>
                <w:sz w:val="20"/>
                <w:szCs w:val="20"/>
                <w:lang w:val="it-CH"/>
              </w:rPr>
              <w:t xml:space="preserve"> (Argentina</w:t>
            </w:r>
            <w:r w:rsidR="002D7576" w:rsidRPr="00127812">
              <w:rPr>
                <w:sz w:val="20"/>
                <w:szCs w:val="20"/>
                <w:lang w:val="it-CH"/>
              </w:rPr>
              <w:t>, Suiza</w:t>
            </w:r>
            <w:r w:rsidRPr="00127812">
              <w:rPr>
                <w:sz w:val="20"/>
                <w:szCs w:val="20"/>
                <w:lang w:val="it-CH"/>
              </w:rPr>
              <w:t xml:space="preserve">) – Ing. </w:t>
            </w:r>
            <w:r w:rsidRPr="002D7576">
              <w:rPr>
                <w:sz w:val="20"/>
                <w:szCs w:val="20"/>
                <w:lang w:val="es-AR"/>
              </w:rPr>
              <w:t xml:space="preserve">Civil, </w:t>
            </w:r>
            <w:proofErr w:type="spellStart"/>
            <w:r w:rsidRPr="002D7576">
              <w:rPr>
                <w:sz w:val="20"/>
                <w:szCs w:val="20"/>
                <w:lang w:val="es-AR"/>
              </w:rPr>
              <w:t>PhD</w:t>
            </w:r>
            <w:proofErr w:type="spellEnd"/>
            <w:r w:rsidRPr="002D7576">
              <w:rPr>
                <w:sz w:val="20"/>
                <w:szCs w:val="20"/>
                <w:lang w:val="es-AR"/>
              </w:rPr>
              <w:t xml:space="preserve">, Director Técnico de </w:t>
            </w:r>
            <w:proofErr w:type="spellStart"/>
            <w:r w:rsidRPr="002D7576">
              <w:rPr>
                <w:sz w:val="20"/>
                <w:szCs w:val="20"/>
                <w:lang w:val="es-AR"/>
              </w:rPr>
              <w:t>Materials</w:t>
            </w:r>
            <w:proofErr w:type="spellEnd"/>
            <w:r w:rsidRPr="002D7576">
              <w:rPr>
                <w:sz w:val="20"/>
                <w:szCs w:val="20"/>
                <w:lang w:val="es-AR"/>
              </w:rPr>
              <w:t xml:space="preserve"> </w:t>
            </w:r>
            <w:proofErr w:type="spellStart"/>
            <w:r w:rsidRPr="002D7576">
              <w:rPr>
                <w:sz w:val="20"/>
                <w:szCs w:val="20"/>
                <w:lang w:val="es-AR"/>
              </w:rPr>
              <w:t>Advanced</w:t>
            </w:r>
            <w:proofErr w:type="spellEnd"/>
            <w:r w:rsidRPr="002D7576">
              <w:rPr>
                <w:sz w:val="20"/>
                <w:szCs w:val="20"/>
                <w:lang w:val="es-AR"/>
              </w:rPr>
              <w:t xml:space="preserve"> </w:t>
            </w:r>
            <w:proofErr w:type="spellStart"/>
            <w:r w:rsidRPr="002D7576">
              <w:rPr>
                <w:sz w:val="20"/>
                <w:szCs w:val="20"/>
                <w:lang w:val="es-AR"/>
              </w:rPr>
              <w:t>Services</w:t>
            </w:r>
            <w:proofErr w:type="spellEnd"/>
          </w:p>
        </w:tc>
      </w:tr>
      <w:tr w:rsidR="002D7576" w:rsidRPr="00C8422D" w:rsidTr="003159B1">
        <w:tc>
          <w:tcPr>
            <w:tcW w:w="9923" w:type="dxa"/>
          </w:tcPr>
          <w:p w:rsidR="002D7576" w:rsidRPr="002D7576" w:rsidRDefault="002D7576" w:rsidP="002D7576">
            <w:pPr>
              <w:jc w:val="both"/>
              <w:rPr>
                <w:b/>
                <w:sz w:val="20"/>
                <w:szCs w:val="20"/>
                <w:lang w:val="es-AR"/>
              </w:rPr>
            </w:pPr>
            <w:r w:rsidRPr="000367D0">
              <w:rPr>
                <w:b/>
                <w:sz w:val="20"/>
                <w:szCs w:val="20"/>
                <w:lang w:val="es-AR"/>
              </w:rPr>
              <w:t xml:space="preserve">Silvia </w:t>
            </w:r>
            <w:proofErr w:type="spellStart"/>
            <w:r w:rsidRPr="000367D0">
              <w:rPr>
                <w:b/>
                <w:sz w:val="20"/>
                <w:szCs w:val="20"/>
                <w:lang w:val="es-AR"/>
              </w:rPr>
              <w:t>Szteinberg</w:t>
            </w:r>
            <w:proofErr w:type="spellEnd"/>
            <w:r w:rsidRPr="000367D0">
              <w:rPr>
                <w:sz w:val="20"/>
                <w:szCs w:val="20"/>
                <w:lang w:val="es-AR"/>
              </w:rPr>
              <w:t xml:space="preserve"> (Argentina), </w:t>
            </w:r>
            <w:r w:rsidRPr="002D7576">
              <w:rPr>
                <w:color w:val="000000" w:themeColor="text1"/>
                <w:sz w:val="20"/>
                <w:szCs w:val="20"/>
                <w:lang w:val="es-AR"/>
              </w:rPr>
              <w:t>Lic. Química</w:t>
            </w:r>
            <w:r>
              <w:rPr>
                <w:color w:val="000000" w:themeColor="text1"/>
                <w:sz w:val="20"/>
                <w:szCs w:val="20"/>
                <w:lang w:val="es-AR"/>
              </w:rPr>
              <w:t xml:space="preserve">, </w:t>
            </w:r>
            <w:r>
              <w:rPr>
                <w:sz w:val="20"/>
                <w:szCs w:val="20"/>
                <w:lang w:val="es-AR"/>
              </w:rPr>
              <w:t xml:space="preserve"> Jefe UT Química de la Construcción (CECON/INTI)</w:t>
            </w:r>
          </w:p>
        </w:tc>
      </w:tr>
      <w:tr w:rsidR="003159B1" w:rsidRPr="00C8422D" w:rsidTr="00127812">
        <w:trPr>
          <w:trHeight w:val="70"/>
        </w:trPr>
        <w:tc>
          <w:tcPr>
            <w:tcW w:w="9923" w:type="dxa"/>
          </w:tcPr>
          <w:p w:rsidR="003159B1" w:rsidRPr="00127812" w:rsidRDefault="003159B1" w:rsidP="003159B1">
            <w:pPr>
              <w:jc w:val="both"/>
              <w:rPr>
                <w:sz w:val="20"/>
                <w:szCs w:val="20"/>
                <w:lang w:val="es-AR"/>
              </w:rPr>
            </w:pPr>
            <w:r w:rsidRPr="00127812">
              <w:rPr>
                <w:b/>
                <w:sz w:val="20"/>
                <w:szCs w:val="20"/>
                <w:lang w:val="es-AR"/>
              </w:rPr>
              <w:t>Yuri Villagrán</w:t>
            </w:r>
            <w:r w:rsidRPr="00127812">
              <w:rPr>
                <w:sz w:val="20"/>
                <w:szCs w:val="20"/>
                <w:lang w:val="es-AR"/>
              </w:rPr>
              <w:t xml:space="preserve"> (Argentina) Ing. Civil, </w:t>
            </w:r>
            <w:proofErr w:type="spellStart"/>
            <w:r w:rsidRPr="00127812">
              <w:rPr>
                <w:sz w:val="20"/>
                <w:szCs w:val="20"/>
                <w:lang w:val="es-AR"/>
              </w:rPr>
              <w:t>PhD</w:t>
            </w:r>
            <w:proofErr w:type="spellEnd"/>
            <w:r w:rsidRPr="00127812">
              <w:rPr>
                <w:sz w:val="20"/>
                <w:szCs w:val="20"/>
                <w:lang w:val="es-AR"/>
              </w:rPr>
              <w:t>, Investigador CONICET / LEMIT</w:t>
            </w:r>
          </w:p>
        </w:tc>
      </w:tr>
    </w:tbl>
    <w:p w:rsidR="00AE1491" w:rsidRPr="00EC0260" w:rsidRDefault="00FA5078" w:rsidP="00EC0260">
      <w:pPr>
        <w:spacing w:after="120"/>
        <w:jc w:val="center"/>
        <w:rPr>
          <w:lang w:val="es-AR"/>
        </w:rPr>
      </w:pPr>
      <w:r>
        <w:rPr>
          <w:noProof/>
          <w:lang w:val="it-CH" w:eastAsia="it-CH"/>
        </w:rPr>
        <w:lastRenderedPageBreak/>
        <w:drawing>
          <wp:inline distT="0" distB="0" distL="0" distR="0">
            <wp:extent cx="5924550" cy="80200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24550" cy="8020050"/>
                    </a:xfrm>
                    <a:prstGeom prst="rect">
                      <a:avLst/>
                    </a:prstGeom>
                    <a:noFill/>
                    <a:ln>
                      <a:noFill/>
                    </a:ln>
                  </pic:spPr>
                </pic:pic>
              </a:graphicData>
            </a:graphic>
          </wp:inline>
        </w:drawing>
      </w:r>
    </w:p>
    <w:sectPr w:rsidR="00AE1491" w:rsidRPr="00EC0260" w:rsidSect="003159B1">
      <w:pgSz w:w="11907" w:h="16840" w:code="9"/>
      <w:pgMar w:top="1440" w:right="1440" w:bottom="1135"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73434"/>
    <w:multiLevelType w:val="hybridMultilevel"/>
    <w:tmpl w:val="D0FE34BA"/>
    <w:lvl w:ilvl="0" w:tplc="04EE9138">
      <w:start w:val="1"/>
      <w:numFmt w:val="bullet"/>
      <w:lvlText w:val=""/>
      <w:lvlJc w:val="left"/>
      <w:pPr>
        <w:tabs>
          <w:tab w:val="num" w:pos="720"/>
        </w:tabs>
        <w:ind w:left="720" w:hanging="360"/>
      </w:pPr>
      <w:rPr>
        <w:rFonts w:ascii="Symbol" w:hAnsi="Symbol"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4461722D"/>
    <w:multiLevelType w:val="hybridMultilevel"/>
    <w:tmpl w:val="D68EB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283"/>
  <w:doNotHyphenateCaps/>
  <w:characterSpacingControl w:val="doNotCompress"/>
  <w:doNotValidateAgainstSchema/>
  <w:doNotDemarcateInvalidXml/>
  <w:compat/>
  <w:rsids>
    <w:rsidRoot w:val="00CA2A52"/>
    <w:rsid w:val="00003353"/>
    <w:rsid w:val="000367D0"/>
    <w:rsid w:val="000379F3"/>
    <w:rsid w:val="00053291"/>
    <w:rsid w:val="00066661"/>
    <w:rsid w:val="0007046A"/>
    <w:rsid w:val="00107BF8"/>
    <w:rsid w:val="00127812"/>
    <w:rsid w:val="001425DD"/>
    <w:rsid w:val="00143E9C"/>
    <w:rsid w:val="00150D8D"/>
    <w:rsid w:val="001D02D5"/>
    <w:rsid w:val="00231845"/>
    <w:rsid w:val="0023383B"/>
    <w:rsid w:val="00270891"/>
    <w:rsid w:val="002904A9"/>
    <w:rsid w:val="002922E2"/>
    <w:rsid w:val="002C10A3"/>
    <w:rsid w:val="002D7576"/>
    <w:rsid w:val="00300879"/>
    <w:rsid w:val="003159B1"/>
    <w:rsid w:val="00316E69"/>
    <w:rsid w:val="00330F60"/>
    <w:rsid w:val="003342FF"/>
    <w:rsid w:val="00384B96"/>
    <w:rsid w:val="003A05EB"/>
    <w:rsid w:val="003C2855"/>
    <w:rsid w:val="003E7760"/>
    <w:rsid w:val="003F23B8"/>
    <w:rsid w:val="00423638"/>
    <w:rsid w:val="004305BB"/>
    <w:rsid w:val="00463005"/>
    <w:rsid w:val="004639B1"/>
    <w:rsid w:val="00494D29"/>
    <w:rsid w:val="004C7BA9"/>
    <w:rsid w:val="004D3E18"/>
    <w:rsid w:val="0050653F"/>
    <w:rsid w:val="00521B01"/>
    <w:rsid w:val="00525B6F"/>
    <w:rsid w:val="00526299"/>
    <w:rsid w:val="00542DC3"/>
    <w:rsid w:val="00545951"/>
    <w:rsid w:val="0054622B"/>
    <w:rsid w:val="00566266"/>
    <w:rsid w:val="00597F1C"/>
    <w:rsid w:val="005B03D7"/>
    <w:rsid w:val="005D280E"/>
    <w:rsid w:val="005E028C"/>
    <w:rsid w:val="0062030A"/>
    <w:rsid w:val="0064084C"/>
    <w:rsid w:val="006568BA"/>
    <w:rsid w:val="00691AAD"/>
    <w:rsid w:val="006D02E5"/>
    <w:rsid w:val="006D1FD5"/>
    <w:rsid w:val="006E1BDC"/>
    <w:rsid w:val="006E61AF"/>
    <w:rsid w:val="006F6D9B"/>
    <w:rsid w:val="0070773A"/>
    <w:rsid w:val="00707FE9"/>
    <w:rsid w:val="007146A6"/>
    <w:rsid w:val="007225E9"/>
    <w:rsid w:val="00724D32"/>
    <w:rsid w:val="0074248F"/>
    <w:rsid w:val="00764DA0"/>
    <w:rsid w:val="00773648"/>
    <w:rsid w:val="0078238E"/>
    <w:rsid w:val="00783B9D"/>
    <w:rsid w:val="007B6851"/>
    <w:rsid w:val="007E7F2D"/>
    <w:rsid w:val="00834198"/>
    <w:rsid w:val="0084041B"/>
    <w:rsid w:val="008D2143"/>
    <w:rsid w:val="008E6195"/>
    <w:rsid w:val="008F50A5"/>
    <w:rsid w:val="008F7067"/>
    <w:rsid w:val="00935DB7"/>
    <w:rsid w:val="00941C4D"/>
    <w:rsid w:val="00943490"/>
    <w:rsid w:val="0094361C"/>
    <w:rsid w:val="00973509"/>
    <w:rsid w:val="009C2C07"/>
    <w:rsid w:val="009D04C5"/>
    <w:rsid w:val="009E32E7"/>
    <w:rsid w:val="009F3F5F"/>
    <w:rsid w:val="00A41145"/>
    <w:rsid w:val="00A4780A"/>
    <w:rsid w:val="00A61C5E"/>
    <w:rsid w:val="00A66F6F"/>
    <w:rsid w:val="00AB6562"/>
    <w:rsid w:val="00AC52AC"/>
    <w:rsid w:val="00AD3F1D"/>
    <w:rsid w:val="00AD6028"/>
    <w:rsid w:val="00AE1491"/>
    <w:rsid w:val="00B22C6D"/>
    <w:rsid w:val="00B44FAE"/>
    <w:rsid w:val="00B46A26"/>
    <w:rsid w:val="00B602C2"/>
    <w:rsid w:val="00B97654"/>
    <w:rsid w:val="00C27443"/>
    <w:rsid w:val="00C27820"/>
    <w:rsid w:val="00C329D3"/>
    <w:rsid w:val="00C32BFE"/>
    <w:rsid w:val="00C44E88"/>
    <w:rsid w:val="00C5403A"/>
    <w:rsid w:val="00C65345"/>
    <w:rsid w:val="00C8422D"/>
    <w:rsid w:val="00CA1DE6"/>
    <w:rsid w:val="00CA2A52"/>
    <w:rsid w:val="00CB6338"/>
    <w:rsid w:val="00CE5D3A"/>
    <w:rsid w:val="00D10252"/>
    <w:rsid w:val="00D32144"/>
    <w:rsid w:val="00D47111"/>
    <w:rsid w:val="00D63BF1"/>
    <w:rsid w:val="00D94600"/>
    <w:rsid w:val="00E12B76"/>
    <w:rsid w:val="00E55C44"/>
    <w:rsid w:val="00E753CF"/>
    <w:rsid w:val="00E84390"/>
    <w:rsid w:val="00E94D06"/>
    <w:rsid w:val="00EA6660"/>
    <w:rsid w:val="00EC0260"/>
    <w:rsid w:val="00EC7382"/>
    <w:rsid w:val="00F17463"/>
    <w:rsid w:val="00F25E57"/>
    <w:rsid w:val="00F3389A"/>
    <w:rsid w:val="00F35E14"/>
    <w:rsid w:val="00F464A1"/>
    <w:rsid w:val="00FA2EAA"/>
    <w:rsid w:val="00FA5078"/>
    <w:rsid w:val="00FB2AED"/>
    <w:rsid w:val="00FC4EC1"/>
    <w:rsid w:val="00FD19E6"/>
    <w:rsid w:val="00FD7A42"/>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6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0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329D3"/>
    <w:rPr>
      <w:rFonts w:ascii="Tahoma" w:hAnsi="Tahoma" w:cs="Tahoma"/>
      <w:sz w:val="16"/>
      <w:szCs w:val="16"/>
    </w:rPr>
  </w:style>
  <w:style w:type="character" w:customStyle="1" w:styleId="BalloonTextChar">
    <w:name w:val="Balloon Text Char"/>
    <w:basedOn w:val="DefaultParagraphFont"/>
    <w:link w:val="BalloonText"/>
    <w:uiPriority w:val="99"/>
    <w:locked/>
    <w:rsid w:val="00C329D3"/>
    <w:rPr>
      <w:rFonts w:ascii="Tahoma" w:hAnsi="Tahoma" w:cs="Tahoma"/>
      <w:sz w:val="16"/>
      <w:szCs w:val="16"/>
      <w:lang w:val="en-US" w:eastAsia="en-US"/>
    </w:rPr>
  </w:style>
  <w:style w:type="character" w:styleId="Hyperlink">
    <w:name w:val="Hyperlink"/>
    <w:basedOn w:val="DefaultParagraphFont"/>
    <w:uiPriority w:val="99"/>
    <w:rsid w:val="00597F1C"/>
    <w:rPr>
      <w:color w:val="0000FF"/>
      <w:u w:val="single"/>
    </w:rPr>
  </w:style>
  <w:style w:type="paragraph" w:styleId="ListParagraph">
    <w:name w:val="List Paragraph"/>
    <w:basedOn w:val="Normal"/>
    <w:uiPriority w:val="34"/>
    <w:qFormat/>
    <w:rsid w:val="00D10252"/>
    <w:pPr>
      <w:spacing w:after="200" w:line="276" w:lineRule="auto"/>
      <w:ind w:left="720"/>
      <w:contextualSpacing/>
    </w:pPr>
    <w:rPr>
      <w:rFonts w:asciiTheme="minorHAnsi" w:eastAsiaTheme="minorHAnsi" w:hAnsiTheme="minorHAnsi" w:cstheme="minorBidi"/>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65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540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C329D3"/>
    <w:rPr>
      <w:rFonts w:ascii="Tahoma" w:hAnsi="Tahoma" w:cs="Tahoma"/>
      <w:sz w:val="16"/>
      <w:szCs w:val="16"/>
    </w:rPr>
  </w:style>
  <w:style w:type="character" w:customStyle="1" w:styleId="TextodegloboCar">
    <w:name w:val="Texto de globo Car"/>
    <w:basedOn w:val="Fuentedeprrafopredeter"/>
    <w:link w:val="Textodeglobo"/>
    <w:uiPriority w:val="99"/>
    <w:locked/>
    <w:rsid w:val="00C329D3"/>
    <w:rPr>
      <w:rFonts w:ascii="Tahoma" w:hAnsi="Tahoma" w:cs="Tahoma"/>
      <w:sz w:val="16"/>
      <w:szCs w:val="16"/>
      <w:lang w:val="en-US" w:eastAsia="en-US"/>
    </w:rPr>
  </w:style>
  <w:style w:type="character" w:styleId="Hipervnculo">
    <w:name w:val="Hyperlink"/>
    <w:basedOn w:val="Fuentedeprrafopredeter"/>
    <w:uiPriority w:val="99"/>
    <w:rsid w:val="00597F1C"/>
    <w:rPr>
      <w:color w:val="0000FF"/>
      <w:u w:val="single"/>
    </w:rPr>
  </w:style>
  <w:style w:type="paragraph" w:styleId="Prrafodelista">
    <w:name w:val="List Paragraph"/>
    <w:basedOn w:val="Normal"/>
    <w:uiPriority w:val="34"/>
    <w:qFormat/>
    <w:rsid w:val="00D10252"/>
    <w:pPr>
      <w:spacing w:after="200" w:line="276" w:lineRule="auto"/>
      <w:ind w:left="720"/>
      <w:contextualSpacing/>
    </w:pPr>
    <w:rPr>
      <w:rFonts w:asciiTheme="minorHAnsi" w:eastAsiaTheme="minorHAnsi" w:hAnsiTheme="minorHAnsi" w:cstheme="minorBidi"/>
      <w:sz w:val="22"/>
      <w:szCs w:val="22"/>
      <w:lang w:val="es-ES"/>
    </w:rPr>
  </w:style>
</w:styles>
</file>

<file path=word/webSettings.xml><?xml version="1.0" encoding="utf-8"?>
<w:webSettings xmlns:r="http://schemas.openxmlformats.org/officeDocument/2006/relationships" xmlns:w="http://schemas.openxmlformats.org/wordprocessingml/2006/main">
  <w:divs>
    <w:div w:id="605231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e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aath@aath.org.a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C3453-7714-4CE1-A38C-CE0DD078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4</Pages>
  <Words>998</Words>
  <Characters>5693</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1st Announcement</vt:lpstr>
      <vt:lpstr>1st Announcement</vt:lpstr>
    </vt:vector>
  </TitlesOfParts>
  <Company>Hewlett-Packard Company</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Announcement</dc:title>
  <dc:creator>RT Lenovo</dc:creator>
  <cp:lastModifiedBy>RT</cp:lastModifiedBy>
  <cp:revision>6</cp:revision>
  <cp:lastPrinted>2014-11-05T17:12:00Z</cp:lastPrinted>
  <dcterms:created xsi:type="dcterms:W3CDTF">2014-11-06T09:40:00Z</dcterms:created>
  <dcterms:modified xsi:type="dcterms:W3CDTF">2014-12-03T14:06:00Z</dcterms:modified>
</cp:coreProperties>
</file>